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版本号：YC25301011（ZBQ）20250915001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陕西省审计厅审计项目全流程管理系统升级开发服务项目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YC25301011（ZBQ）</w:t>
      </w:r>
      <w:r>
        <w:br/>
      </w:r>
      <w:r>
        <w:br/>
      </w:r>
      <w:r>
        <w:br/>
      </w:r>
    </w:p>
    <w:p>
      <w:pPr>
        <w:pStyle w:val="null3"/>
        <w:jc w:val="center"/>
        <w:outlineLvl w:val="5"/>
      </w:pPr>
      <w:r>
        <w:rPr>
          <w:rFonts w:ascii="仿宋_GB2312" w:hAnsi="仿宋_GB2312" w:cs="仿宋_GB2312" w:eastAsia="仿宋_GB2312"/>
          <w:sz w:val="15"/>
          <w:b/>
        </w:rPr>
        <w:t>省审计厅机关</w:t>
      </w:r>
    </w:p>
    <w:p>
      <w:pPr>
        <w:pStyle w:val="null3"/>
        <w:jc w:val="center"/>
        <w:outlineLvl w:val="5"/>
      </w:pPr>
      <w:r>
        <w:rPr>
          <w:rFonts w:ascii="仿宋_GB2312" w:hAnsi="仿宋_GB2312" w:cs="仿宋_GB2312" w:eastAsia="仿宋_GB2312"/>
          <w:sz w:val="15"/>
          <w:b/>
        </w:rPr>
        <w:t>亿诚建设项目管理有限公司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省审计厅机关</w:t>
      </w:r>
      <w:r>
        <w:rPr>
          <w:rFonts w:ascii="仿宋_GB2312" w:hAnsi="仿宋_GB2312" w:cs="仿宋_GB2312" w:eastAsia="仿宋_GB2312"/>
        </w:rPr>
        <w:t>委托，拟对</w:t>
      </w:r>
      <w:r>
        <w:rPr>
          <w:rFonts w:ascii="仿宋_GB2312" w:hAnsi="仿宋_GB2312" w:cs="仿宋_GB2312" w:eastAsia="仿宋_GB2312"/>
        </w:rPr>
        <w:t>陕西省审计厅审计项目全流程管理系统升级开发服务项目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YC25301011（ZBQ）</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陕西省审计厅审计项目全流程管理系统升级开发服务项目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陕西省审计厅审计项目全流程管理系统升级开发服务项目,具体详见采购文件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1、营业执照：供应商提供合格有效的法人或者其他组织的营业执照等证明文件，自然人的身份证明；</w:t>
      </w:r>
    </w:p>
    <w:p>
      <w:pPr>
        <w:pStyle w:val="null3"/>
      </w:pPr>
      <w:r>
        <w:rPr>
          <w:rFonts w:ascii="仿宋_GB2312" w:hAnsi="仿宋_GB2312" w:cs="仿宋_GB2312" w:eastAsia="仿宋_GB2312"/>
        </w:rPr>
        <w:t>2、授权书：法定代表人授权书（附法定代表人、被授权人身份证复印件）及被授权人身份证复印件（法定代表人直接参加，只需提供法定代表人身份证复印件）；</w:t>
      </w:r>
    </w:p>
    <w:p>
      <w:pPr>
        <w:pStyle w:val="null3"/>
      </w:pPr>
      <w:r>
        <w:rPr>
          <w:rFonts w:ascii="仿宋_GB2312" w:hAnsi="仿宋_GB2312" w:cs="仿宋_GB2312" w:eastAsia="仿宋_GB2312"/>
        </w:rPr>
        <w:t>3、财务状况报告：提供2024年度经审计的完整有效的财务报告(报告须带有二维码可验证,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4、税收缴纳证明：提供至今连续6个月的纳税证明或完税证明，纳税证明或完税证明上应有代收机构或税务机关的公章，依法免税的投标单位应提供相关文件证明；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5、社会保障资金缴纳证明：提供至今连续6个月已缴存的社会保障资金缴存单据或社保机构开具的社会保险参保缴费情况证明，依法不需要缴纳社会保障资金的单位应提供相关证明材料；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6、承诺函：提供具有履行合同所必需的专业技术能力的承诺函；</w:t>
      </w:r>
    </w:p>
    <w:p>
      <w:pPr>
        <w:pStyle w:val="null3"/>
      </w:pPr>
      <w:r>
        <w:rPr>
          <w:rFonts w:ascii="仿宋_GB2312" w:hAnsi="仿宋_GB2312" w:cs="仿宋_GB2312" w:eastAsia="仿宋_GB2312"/>
        </w:rPr>
        <w:t>7、信用：供应商不得为“信用中国”网站（www.creditchina.gov.cn）中列入失信被执行人和重大税收违法案件当事人；</w:t>
      </w:r>
    </w:p>
    <w:p>
      <w:pPr>
        <w:pStyle w:val="null3"/>
      </w:pPr>
      <w:r>
        <w:rPr>
          <w:rFonts w:ascii="仿宋_GB2312" w:hAnsi="仿宋_GB2312" w:cs="仿宋_GB2312" w:eastAsia="仿宋_GB2312"/>
        </w:rPr>
        <w:t>8、书面声明：参加政府采购活动前三年内，在经营活动中没有重大违法记录的书面声明；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省审计厅机关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四府街48号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省审计厅机关经办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029-88481928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029-85410678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作为计算基数,参考国家计委《招标代理服务收费管理暂行办法》计价格[2002]1980号、国家发展改革委办公厅《关于招标代理服务收费有关问题的通知》发改办价格［2003］857号规定的标准计取。2.由成交供应商在领取成交通知书的同时向采购代理机构交纳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省审计厅机关</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省审计厅机关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陕西省审计厅审计项目全流程管理系统升级开发服务项目,具体详见采购文件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审计项目全流程管理系统升级开发服务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标的名称：审计项目全流程管理系统升级开发服务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2022年</w:t>
            </w:r>
            <w:r>
              <w:rPr>
                <w:rFonts w:ascii="仿宋_GB2312" w:hAnsi="仿宋_GB2312" w:cs="仿宋_GB2312" w:eastAsia="仿宋_GB2312"/>
                <w:sz w:val="24"/>
              </w:rPr>
              <w:t>陕西省审计厅</w:t>
            </w:r>
            <w:r>
              <w:rPr>
                <w:rFonts w:ascii="仿宋_GB2312" w:hAnsi="仿宋_GB2312" w:cs="仿宋_GB2312" w:eastAsia="仿宋_GB2312"/>
                <w:sz w:val="24"/>
              </w:rPr>
              <w:t>依托金审工程基础软硬件支撑，开发部署了服务厅机关审计项目过程质量管理和问题整改工作的《审计项目全流程管理系统》。随着坚持科学规范审计，实行审计质量分级责任制，持续加强审计问题整改管理，全省审计一盘棋构建</w:t>
            </w:r>
            <w:r>
              <w:rPr>
                <w:rFonts w:ascii="仿宋_GB2312" w:hAnsi="仿宋_GB2312" w:cs="仿宋_GB2312" w:eastAsia="仿宋_GB2312"/>
                <w:sz w:val="24"/>
              </w:rPr>
              <w:t>‘立体审计监督’模式等工作部署的深化实施，结合近3年推广应用情况，需对现有系统在业务功能优化、被审计单位在线整改管理、基层审计机关覆盖、人工智能深化应用和开发运行环境升级等方面进行升级完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二、技术要求</w:t>
            </w:r>
          </w:p>
          <w:p>
            <w:pPr>
              <w:pStyle w:val="null3"/>
              <w:ind w:firstLine="480"/>
              <w:jc w:val="both"/>
            </w:pPr>
            <w:r>
              <w:rPr>
                <w:rFonts w:ascii="仿宋_GB2312" w:hAnsi="仿宋_GB2312" w:cs="仿宋_GB2312" w:eastAsia="仿宋_GB2312"/>
                <w:sz w:val="24"/>
              </w:rPr>
              <w:t>（一）总体要求</w:t>
            </w:r>
          </w:p>
          <w:p>
            <w:pPr>
              <w:pStyle w:val="null3"/>
              <w:ind w:firstLine="480"/>
              <w:jc w:val="both"/>
            </w:pPr>
            <w:r>
              <w:rPr>
                <w:rFonts w:ascii="仿宋_GB2312" w:hAnsi="仿宋_GB2312" w:cs="仿宋_GB2312" w:eastAsia="仿宋_GB2312"/>
                <w:sz w:val="24"/>
              </w:rPr>
              <w:t>1、本项目在软件设计、开发、集成和服务过程中采用已有的行业规范、国家标准和国产化要求；</w:t>
            </w:r>
          </w:p>
          <w:p>
            <w:pPr>
              <w:pStyle w:val="null3"/>
              <w:ind w:firstLine="480"/>
              <w:jc w:val="both"/>
            </w:pPr>
            <w:r>
              <w:rPr>
                <w:rFonts w:ascii="仿宋_GB2312" w:hAnsi="仿宋_GB2312" w:cs="仿宋_GB2312" w:eastAsia="仿宋_GB2312"/>
                <w:sz w:val="24"/>
              </w:rPr>
              <w:t>2、本项目各子系统和支撑环境所有所涉及业务系统需在“陕西审计云”政务外网区国产化环境部署；</w:t>
            </w:r>
          </w:p>
          <w:p>
            <w:pPr>
              <w:pStyle w:val="null3"/>
              <w:ind w:firstLine="480"/>
              <w:jc w:val="both"/>
            </w:pPr>
            <w:r>
              <w:rPr>
                <w:rFonts w:ascii="仿宋_GB2312" w:hAnsi="仿宋_GB2312" w:cs="仿宋_GB2312" w:eastAsia="仿宋_GB2312"/>
                <w:sz w:val="24"/>
              </w:rPr>
              <w:t>3、本项目所涉及业务系统需与金审三期统一权限控制体系集成；</w:t>
            </w:r>
          </w:p>
          <w:p>
            <w:pPr>
              <w:pStyle w:val="null3"/>
              <w:ind w:firstLine="480"/>
              <w:jc w:val="both"/>
            </w:pPr>
            <w:r>
              <w:rPr>
                <w:rFonts w:ascii="仿宋_GB2312" w:hAnsi="仿宋_GB2312" w:cs="仿宋_GB2312" w:eastAsia="仿宋_GB2312"/>
                <w:sz w:val="24"/>
              </w:rPr>
              <w:t>4、要求投标人必须遵守保密原则，对采购方的政务信息、技术信息、人员档案、内部资料等负有保密义务，且不因项目结束/中止而免除保密义务。</w:t>
            </w:r>
          </w:p>
          <w:p>
            <w:pPr>
              <w:pStyle w:val="null3"/>
              <w:ind w:firstLine="480"/>
              <w:jc w:val="both"/>
            </w:pPr>
            <w:r>
              <w:rPr>
                <w:rFonts w:ascii="仿宋_GB2312" w:hAnsi="仿宋_GB2312" w:cs="仿宋_GB2312" w:eastAsia="仿宋_GB2312"/>
                <w:sz w:val="24"/>
              </w:rPr>
              <w:t>5、本项目是对采购人现有系统的优化开发和功能重构，新开发功能和分子系统须基于升级后的轻应用开发平台进行开发实现。原系统需保留的功能和分子系统，投标人须结合采购人提供的源代码等资料，基于升级后的轻应用开发平台进行迁移重构。</w:t>
            </w:r>
          </w:p>
          <w:p>
            <w:pPr>
              <w:pStyle w:val="null3"/>
              <w:ind w:firstLine="480"/>
              <w:jc w:val="both"/>
            </w:pPr>
            <w:r>
              <w:rPr>
                <w:rFonts w:ascii="仿宋_GB2312" w:hAnsi="仿宋_GB2312" w:cs="仿宋_GB2312" w:eastAsia="仿宋_GB2312"/>
                <w:sz w:val="24"/>
              </w:rPr>
              <w:t>（二）网络安全要求</w:t>
            </w:r>
          </w:p>
          <w:p>
            <w:pPr>
              <w:pStyle w:val="null3"/>
              <w:ind w:firstLine="480"/>
              <w:jc w:val="both"/>
            </w:pPr>
            <w:r>
              <w:rPr>
                <w:rFonts w:ascii="仿宋_GB2312" w:hAnsi="仿宋_GB2312" w:cs="仿宋_GB2312" w:eastAsia="仿宋_GB2312"/>
                <w:sz w:val="24"/>
              </w:rPr>
              <w:t>1、本项目部署在“陕西审计云”电子政务外网业务区国产化云资源环境上，系统整体须满足等保三级安全要求。</w:t>
            </w:r>
          </w:p>
          <w:p>
            <w:pPr>
              <w:pStyle w:val="null3"/>
              <w:ind w:firstLine="480"/>
              <w:jc w:val="both"/>
            </w:pPr>
            <w:r>
              <w:rPr>
                <w:rFonts w:ascii="仿宋_GB2312" w:hAnsi="仿宋_GB2312" w:cs="仿宋_GB2312" w:eastAsia="仿宋_GB2312"/>
                <w:sz w:val="24"/>
              </w:rPr>
              <w:t>2、建设期及服务期内，投标人需配合采购人和项目等保测评单位做好系统定级、测评、风险评估、整改等工作。</w:t>
            </w:r>
          </w:p>
          <w:p>
            <w:pPr>
              <w:pStyle w:val="null3"/>
              <w:ind w:firstLine="480"/>
              <w:jc w:val="both"/>
            </w:pPr>
            <w:r>
              <w:rPr>
                <w:rFonts w:ascii="仿宋_GB2312" w:hAnsi="仿宋_GB2312" w:cs="仿宋_GB2312" w:eastAsia="仿宋_GB2312"/>
                <w:sz w:val="24"/>
              </w:rPr>
              <w:t>3、应用安全要求：系统在身份认证方面采取差异化方案，审计机关用户采用金审工程CA认证，被审计单位用户采用口令、动态验证码等两种或两种以上组合的鉴别技术对登录用户进行身份标识和鉴别，及权限自定义调整的系统访问控制。</w:t>
            </w:r>
          </w:p>
          <w:p>
            <w:pPr>
              <w:pStyle w:val="null3"/>
              <w:ind w:firstLine="480"/>
              <w:jc w:val="both"/>
            </w:pPr>
            <w:r>
              <w:rPr>
                <w:rFonts w:ascii="仿宋_GB2312" w:hAnsi="仿宋_GB2312" w:cs="仿宋_GB2312" w:eastAsia="仿宋_GB2312"/>
                <w:sz w:val="24"/>
              </w:rPr>
              <w:t>4、商用密码应用要求：本项目需符合《商用密码管理条例》《关键信息基础设施安全保护条例》《国家政务信息化项目建设管理办法》等相关法律法规要求，采用安全合规的密码算法和密码技术。</w:t>
            </w:r>
          </w:p>
          <w:p>
            <w:pPr>
              <w:pStyle w:val="null3"/>
              <w:ind w:firstLine="480"/>
              <w:jc w:val="both"/>
            </w:pPr>
            <w:r>
              <w:rPr>
                <w:rFonts w:ascii="仿宋_GB2312" w:hAnsi="仿宋_GB2312" w:cs="仿宋_GB2312" w:eastAsia="仿宋_GB2312"/>
                <w:sz w:val="24"/>
              </w:rPr>
              <w:t>（三）系统性能要求</w:t>
            </w:r>
          </w:p>
          <w:p>
            <w:pPr>
              <w:pStyle w:val="null3"/>
              <w:ind w:firstLine="480"/>
              <w:jc w:val="both"/>
            </w:pPr>
            <w:r>
              <w:rPr>
                <w:rFonts w:ascii="仿宋_GB2312" w:hAnsi="仿宋_GB2312" w:cs="仿宋_GB2312" w:eastAsia="仿宋_GB2312"/>
                <w:sz w:val="24"/>
              </w:rPr>
              <w:t>1、简单操作平均响应速度小于1秒；一般查询平均响应速度小于2秒，带有复杂的饼图、条形图的复合查询小于5秒；文本类数据提交保存平均响应时间小于2秒，图片类数据提交保存操作平均响应时间小于5秒；随着数据量增长系统性能不受影响。</w:t>
            </w:r>
          </w:p>
          <w:p>
            <w:pPr>
              <w:pStyle w:val="null3"/>
              <w:ind w:firstLine="480"/>
              <w:jc w:val="both"/>
            </w:pPr>
            <w:r>
              <w:rPr>
                <w:rFonts w:ascii="仿宋_GB2312" w:hAnsi="仿宋_GB2312" w:cs="仿宋_GB2312" w:eastAsia="仿宋_GB2312"/>
                <w:sz w:val="24"/>
              </w:rPr>
              <w:t>2、系统应实现7×24小时的连续运行，除计划外停机，平均年故障时间（MTBF）&lt;=48小时，平均故障修复时间（MTTR）&lt;=2小时；</w:t>
            </w:r>
          </w:p>
          <w:p>
            <w:pPr>
              <w:pStyle w:val="null3"/>
              <w:ind w:firstLine="480"/>
              <w:jc w:val="both"/>
            </w:pPr>
            <w:r>
              <w:rPr>
                <w:rFonts w:ascii="仿宋_GB2312" w:hAnsi="仿宋_GB2312" w:cs="仿宋_GB2312" w:eastAsia="仿宋_GB2312"/>
                <w:sz w:val="24"/>
              </w:rPr>
              <w:t>3、系统支持不低于1000个用户同时访问时流畅、稳定运行。</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UI设计要求</w:t>
            </w:r>
          </w:p>
          <w:p>
            <w:pPr>
              <w:pStyle w:val="null3"/>
              <w:ind w:firstLine="480"/>
              <w:jc w:val="both"/>
            </w:pPr>
            <w:r>
              <w:rPr>
                <w:rFonts w:ascii="仿宋_GB2312" w:hAnsi="仿宋_GB2312" w:cs="仿宋_GB2312" w:eastAsia="仿宋_GB2312"/>
                <w:sz w:val="24"/>
              </w:rPr>
              <w:t>系统界面设计风格与金审三期应用系统</w:t>
            </w:r>
            <w:r>
              <w:rPr>
                <w:rFonts w:ascii="仿宋_GB2312" w:hAnsi="仿宋_GB2312" w:cs="仿宋_GB2312" w:eastAsia="仿宋_GB2312"/>
                <w:sz w:val="24"/>
              </w:rPr>
              <w:t>UI风格保持一致，且人机界面交互友好，展示界面灵活美观，检索、查询简单快捷。提供统一的操作界面和方式，操作界面美观大方，布局合理，功能完善。</w:t>
            </w:r>
          </w:p>
          <w:p>
            <w:pPr>
              <w:pStyle w:val="null3"/>
              <w:ind w:firstLine="480"/>
              <w:jc w:val="both"/>
            </w:pPr>
            <w:r>
              <w:rPr>
                <w:rFonts w:ascii="仿宋_GB2312" w:hAnsi="仿宋_GB2312" w:cs="仿宋_GB2312" w:eastAsia="仿宋_GB2312"/>
                <w:sz w:val="24"/>
              </w:rPr>
              <w:t>（五）可维护性要求</w:t>
            </w:r>
          </w:p>
          <w:p>
            <w:pPr>
              <w:pStyle w:val="null3"/>
              <w:ind w:firstLine="480"/>
              <w:jc w:val="both"/>
            </w:pPr>
            <w:r>
              <w:rPr>
                <w:rFonts w:ascii="仿宋_GB2312" w:hAnsi="仿宋_GB2312" w:cs="仿宋_GB2312" w:eastAsia="仿宋_GB2312"/>
                <w:sz w:val="24"/>
              </w:rPr>
              <w:t>应用系统的设计和开发需提供各个阶段的需求和设计说明，并对实际开发和使用过程中的变更情况进行详细的记录、软件配置和质量跟踪等工作。</w:t>
            </w:r>
          </w:p>
          <w:p>
            <w:pPr>
              <w:pStyle w:val="null3"/>
              <w:ind w:firstLine="480"/>
              <w:jc w:val="both"/>
            </w:pPr>
            <w:r>
              <w:rPr>
                <w:rFonts w:ascii="仿宋_GB2312" w:hAnsi="仿宋_GB2312" w:cs="仿宋_GB2312" w:eastAsia="仿宋_GB2312"/>
                <w:sz w:val="24"/>
              </w:rPr>
              <w:t>（六）系统功能要求</w:t>
            </w:r>
          </w:p>
          <w:p>
            <w:pPr>
              <w:pStyle w:val="null3"/>
              <w:ind w:firstLine="480"/>
              <w:jc w:val="both"/>
            </w:pPr>
            <w:r>
              <w:rPr>
                <w:rFonts w:ascii="仿宋_GB2312" w:hAnsi="仿宋_GB2312" w:cs="仿宋_GB2312" w:eastAsia="仿宋_GB2312"/>
                <w:sz w:val="24"/>
              </w:rPr>
              <w:t>1、对现行审计全流程管理系统进行改进完善。保留待办已办和通知列表功能；对项目计划管理模块进行优化，审计计划项目基本信息从审计业务管理系统中同步，项目进度管理合并至计划管理中；</w:t>
            </w:r>
          </w:p>
          <w:p>
            <w:pPr>
              <w:pStyle w:val="null3"/>
              <w:ind w:firstLine="480"/>
              <w:jc w:val="both"/>
            </w:pPr>
            <w:r>
              <w:rPr>
                <w:rFonts w:ascii="仿宋_GB2312" w:hAnsi="仿宋_GB2312" w:cs="仿宋_GB2312" w:eastAsia="仿宋_GB2312"/>
                <w:sz w:val="24"/>
              </w:rPr>
              <w:t>2、按要求简化相关功能。</w:t>
            </w:r>
          </w:p>
          <w:p>
            <w:pPr>
              <w:pStyle w:val="null3"/>
              <w:ind w:firstLine="480"/>
              <w:jc w:val="both"/>
            </w:pPr>
            <w:r>
              <w:rPr>
                <w:rFonts w:ascii="仿宋_GB2312" w:hAnsi="仿宋_GB2312" w:cs="仿宋_GB2312" w:eastAsia="仿宋_GB2312"/>
                <w:sz w:val="24"/>
              </w:rPr>
              <w:t>网上质量控制模块：简化项目分解、项目初始化、用户项目等冗余功能，将项目地图功能与网上审理功能整合；</w:t>
            </w:r>
          </w:p>
          <w:p>
            <w:pPr>
              <w:pStyle w:val="null3"/>
              <w:ind w:firstLine="480"/>
              <w:jc w:val="both"/>
            </w:pPr>
            <w:r>
              <w:rPr>
                <w:rFonts w:ascii="仿宋_GB2312" w:hAnsi="仿宋_GB2312" w:cs="仿宋_GB2312" w:eastAsia="仿宋_GB2312"/>
                <w:sz w:val="24"/>
              </w:rPr>
              <w:t>审计现场管理模块：简化取证单和工作底稿编制和审核功能，通过金审工程三期应用接口开发实现与现场审计作业云系统（</w:t>
            </w:r>
            <w:r>
              <w:rPr>
                <w:rFonts w:ascii="仿宋_GB2312" w:hAnsi="仿宋_GB2312" w:cs="仿宋_GB2312" w:eastAsia="仿宋_GB2312"/>
                <w:sz w:val="24"/>
              </w:rPr>
              <w:t>CS/BS）和审计业务管理系统相关功能融合贯通。</w:t>
            </w:r>
          </w:p>
          <w:p>
            <w:pPr>
              <w:pStyle w:val="null3"/>
              <w:ind w:firstLine="480"/>
              <w:jc w:val="both"/>
            </w:pPr>
            <w:r>
              <w:rPr>
                <w:rFonts w:ascii="仿宋_GB2312" w:hAnsi="仿宋_GB2312" w:cs="仿宋_GB2312" w:eastAsia="仿宋_GB2312"/>
                <w:sz w:val="24"/>
              </w:rPr>
              <w:t>网上项目审理模块：保留重构审计项目全过程审理功能（各阶段报告和审计底稿、取证单等），增减基于大语言模型的审计法规、历史审计报告和审计问题定性法规推荐等智能查询问答功能；</w:t>
            </w:r>
          </w:p>
          <w:p>
            <w:pPr>
              <w:pStyle w:val="null3"/>
              <w:ind w:firstLine="480"/>
              <w:jc w:val="both"/>
            </w:pPr>
            <w:r>
              <w:rPr>
                <w:rFonts w:ascii="仿宋_GB2312" w:hAnsi="仿宋_GB2312" w:cs="仿宋_GB2312" w:eastAsia="仿宋_GB2312"/>
                <w:sz w:val="24"/>
              </w:rPr>
              <w:t>审计整改监督模块：保留并优化重构项目挂号和问题销号功能，去除问题蓄水池、问题画像等冗余低效功能，优化整改智能分析功能；</w:t>
            </w:r>
          </w:p>
          <w:p>
            <w:pPr>
              <w:pStyle w:val="null3"/>
              <w:ind w:firstLine="480"/>
              <w:jc w:val="both"/>
            </w:pPr>
            <w:r>
              <w:rPr>
                <w:rFonts w:ascii="仿宋_GB2312" w:hAnsi="仿宋_GB2312" w:cs="仿宋_GB2312" w:eastAsia="仿宋_GB2312"/>
                <w:sz w:val="24"/>
              </w:rPr>
              <w:t>成果综合分析模块：保留并优化重构该模块功能，丰富分析指标体系，增加基于大语言模型的智能分析功能；</w:t>
            </w:r>
          </w:p>
          <w:p>
            <w:pPr>
              <w:pStyle w:val="null3"/>
              <w:ind w:firstLine="480"/>
              <w:jc w:val="both"/>
            </w:pPr>
            <w:r>
              <w:rPr>
                <w:rFonts w:ascii="仿宋_GB2312" w:hAnsi="仿宋_GB2312" w:cs="仿宋_GB2312" w:eastAsia="仿宋_GB2312"/>
                <w:sz w:val="24"/>
              </w:rPr>
              <w:t>另外，按照招标单位业务需求，新建省本级被审计单位在线整改管理和信息直报子系统；新建全省被审计单位基础信息数据在线填报和数据库管理子系统；完成设区市审计局集中审计云部署的市县审计机关协同审计整改管理子系统核心功能开发（市县通过</w:t>
            </w:r>
            <w:r>
              <w:rPr>
                <w:rFonts w:ascii="仿宋_GB2312" w:hAnsi="仿宋_GB2312" w:cs="仿宋_GB2312" w:eastAsia="仿宋_GB2312"/>
                <w:sz w:val="24"/>
              </w:rPr>
              <w:t>1拖N方式定制部署，实现全省审计问题整改管理系统和数据的一体化互联互通）。</w:t>
            </w:r>
          </w:p>
          <w:p>
            <w:pPr>
              <w:pStyle w:val="null3"/>
              <w:ind w:firstLine="480"/>
              <w:jc w:val="both"/>
            </w:pPr>
            <w:r>
              <w:rPr>
                <w:rFonts w:ascii="仿宋_GB2312" w:hAnsi="仿宋_GB2312" w:cs="仿宋_GB2312" w:eastAsia="仿宋_GB2312"/>
                <w:sz w:val="24"/>
              </w:rPr>
              <w:t>改进完善后的系统应具备但不限于以下功能：</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552"/>
              <w:gridCol w:w="337"/>
              <w:gridCol w:w="1421"/>
            </w:tblGrid>
            <w:tr>
              <w:tc>
                <w:tcPr>
                  <w:tcW w:type="dxa" w:w="24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5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模块</w:t>
                  </w:r>
                  <w:r>
                    <w:rPr>
                      <w:rFonts w:ascii="仿宋_GB2312" w:hAnsi="仿宋_GB2312" w:cs="仿宋_GB2312" w:eastAsia="仿宋_GB2312"/>
                      <w:sz w:val="24"/>
                      <w:color w:val="000000"/>
                    </w:rPr>
                    <w:t>/子系统</w:t>
                  </w:r>
                </w:p>
              </w:tc>
              <w:tc>
                <w:tcPr>
                  <w:tcW w:type="dxa" w:w="33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子模块</w:t>
                  </w:r>
                </w:p>
              </w:tc>
              <w:tc>
                <w:tcPr>
                  <w:tcW w:type="dxa" w:w="142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功能和内容描述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系统应为不同角色设置个性化工作台。</w:t>
                  </w:r>
                </w:p>
                <w:p>
                  <w:pPr>
                    <w:pStyle w:val="null3"/>
                    <w:jc w:val="left"/>
                  </w:pPr>
                  <w:r>
                    <w:rPr>
                      <w:rFonts w:ascii="仿宋_GB2312" w:hAnsi="仿宋_GB2312" w:cs="仿宋_GB2312" w:eastAsia="仿宋_GB2312"/>
                      <w:sz w:val="24"/>
                      <w:color w:val="000000"/>
                    </w:rPr>
                    <w:t>在工作台中可以通过待办功能进入相应界面完成待办事项的处理。</w:t>
                  </w:r>
                </w:p>
                <w:p>
                  <w:pPr>
                    <w:pStyle w:val="null3"/>
                    <w:jc w:val="left"/>
                  </w:pPr>
                  <w:r>
                    <w:rPr>
                      <w:rFonts w:ascii="仿宋_GB2312" w:hAnsi="仿宋_GB2312" w:cs="仿宋_GB2312" w:eastAsia="仿宋_GB2312"/>
                      <w:sz w:val="24"/>
                      <w:color w:val="000000"/>
                    </w:rPr>
                    <w:t>厅领导通过可视化图表快速查看年度审计计划全部项目的执行进度、年度整改项目的执行情况及整改成果。</w:t>
                  </w:r>
                </w:p>
                <w:p>
                  <w:pPr>
                    <w:pStyle w:val="null3"/>
                    <w:jc w:val="left"/>
                  </w:pPr>
                  <w:r>
                    <w:rPr>
                      <w:rFonts w:ascii="仿宋_GB2312" w:hAnsi="仿宋_GB2312" w:cs="仿宋_GB2312" w:eastAsia="仿宋_GB2312"/>
                      <w:sz w:val="24"/>
                      <w:color w:val="000000"/>
                    </w:rPr>
                    <w:t>业务处室可通过图表快速查看与处室相关项目的审理过程和整改过程进度；可通过统计图表快速查看与处室相关的信息统计。</w:t>
                  </w:r>
                </w:p>
                <w:p>
                  <w:pPr>
                    <w:pStyle w:val="null3"/>
                    <w:jc w:val="left"/>
                  </w:pPr>
                  <w:r>
                    <w:rPr>
                      <w:rFonts w:ascii="仿宋_GB2312" w:hAnsi="仿宋_GB2312" w:cs="仿宋_GB2312" w:eastAsia="仿宋_GB2312"/>
                      <w:sz w:val="24"/>
                      <w:color w:val="000000"/>
                    </w:rPr>
                    <w:t>审理稽核处可通过可视化图表快速查看年度审计计划全部项目的执行进度。</w:t>
                  </w:r>
                </w:p>
                <w:p>
                  <w:pPr>
                    <w:pStyle w:val="null3"/>
                    <w:jc w:val="left"/>
                  </w:pPr>
                  <w:r>
                    <w:rPr>
                      <w:rFonts w:ascii="仿宋_GB2312" w:hAnsi="仿宋_GB2312" w:cs="仿宋_GB2312" w:eastAsia="仿宋_GB2312"/>
                      <w:sz w:val="24"/>
                      <w:color w:val="000000"/>
                    </w:rPr>
                    <w:t>政策法规处可通过图表快速查看所有整改项目详细进度统计；可通过统计图表快速查看各处室整改项目的进度；可通过统计图表快速查看整改项目、整改问题的整改率分析；可通过图表快速查看整改问题的预警及督办情况。</w:t>
                  </w:r>
                </w:p>
                <w:p>
                  <w:pPr>
                    <w:pStyle w:val="null3"/>
                    <w:jc w:val="left"/>
                  </w:pPr>
                  <w:r>
                    <w:rPr>
                      <w:rFonts w:ascii="仿宋_GB2312" w:hAnsi="仿宋_GB2312" w:cs="仿宋_GB2312" w:eastAsia="仿宋_GB2312"/>
                      <w:sz w:val="24"/>
                      <w:color w:val="000000"/>
                    </w:rPr>
                    <w:t>被审计单位可通过图表快速查看本单位整改项目过程进度；可通过统计图表快速查看本单位问题整改情况统计。</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审计项目管理</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项目进度全景</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审计人员按照数据权限可以查看项目的基本信息、项目组人员信息、项目执行阶段和关键节点时点、项目各阶段资料详细信息等。</w:t>
                  </w:r>
                </w:p>
                <w:p>
                  <w:pPr>
                    <w:pStyle w:val="null3"/>
                    <w:jc w:val="left"/>
                  </w:pPr>
                  <w:r>
                    <w:rPr>
                      <w:rFonts w:ascii="仿宋_GB2312" w:hAnsi="仿宋_GB2312" w:cs="仿宋_GB2312" w:eastAsia="仿宋_GB2312"/>
                      <w:sz w:val="24"/>
                      <w:color w:val="000000"/>
                    </w:rPr>
                    <w:t>系统自动同步审计业务管理系统中的项目信息，以进度条形式清晰表示某项目当前所处阶段。项目进度包括审计通知书、审计实施方案、审计取证单、审计工作底稿、问题清单、征求意见、正式送审以及资料归档等八个关键节点，审计人员通过点击任一关键节点快速进入相应功能模块，系统自动判定审计人员在该节点的可操作范围，显示详细数据。系统根据各关键节点对本阶段项目资料进行版本管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取证单</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自动同步审计业务管理系统中的各阶段取证单数据，项目主审可以按照需要手动同步及时取得最新的取证单的增量数据。项目主审可以查看其所负责的所有项目的全部取证单信息。通过对项目名称、被审计单位等信息检索筛选取证单信息，通过高级查询自定义查询检索条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工作底稿</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自动同步审计业务管理系统中各阶段的工作底稿及其附件数据，项目主审可以按照需要手动同步及时取得最新的工作底稿的增量数据。项目主审可以查看其所负责的所有项目的全部工作底稿及其附件信息。通过对项目名称、被审计单位等信息检索筛选工作底稿信息，通过高级查询自定义查询检索条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问题清单</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自动同步审计业务管理系统中的问题清单数据，项目主审可以按照需要手动同步及时取得最新的问题清单数据。项目主审可以查看其所负责的所有项目的各阶段版本的问题清单。通过对项目名称、被审计单位等信息检索筛选问题清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项目资料</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以树形结构展现项目在准备阶段、实施阶段、报告阶段的文档资料信息，各阶段节点可以展开</w:t>
                  </w:r>
                  <w:r>
                    <w:rPr>
                      <w:rFonts w:ascii="仿宋_GB2312" w:hAnsi="仿宋_GB2312" w:cs="仿宋_GB2312" w:eastAsia="仿宋_GB2312"/>
                      <w:sz w:val="24"/>
                      <w:color w:val="000000"/>
                    </w:rPr>
                    <w:t>/折叠。项目资料版本与项目执行阶段严格匹配。提供基于文档类别和关键词检索的文档资料查询筛选功能。审计人员可对项目资料进行预览、下载等操作。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网上审理</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实现对审计报告（征求意见稿）审理和审计报告（正式送审稿）审理两个阶段的审理流程过程管理。</w:t>
                  </w:r>
                </w:p>
                <w:p>
                  <w:pPr>
                    <w:pStyle w:val="null3"/>
                    <w:jc w:val="left"/>
                  </w:pPr>
                  <w:r>
                    <w:rPr>
                      <w:rFonts w:ascii="仿宋_GB2312" w:hAnsi="仿宋_GB2312" w:cs="仿宋_GB2312" w:eastAsia="仿宋_GB2312"/>
                      <w:sz w:val="24"/>
                      <w:color w:val="000000"/>
                    </w:rPr>
                    <w:t>项目主审、业务处长、审理稽核处、厅领导按照审理流程，对审计报告及相关附件进行提请审理、修订、复核、审理及反馈意见等，直至完成所有流程，形成上会稿。</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项目综合分析</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以柱形图、饼图、环图等多种可视化手段实现对按计划年度统计项目执行进度、项目分类、计划内办结率等多维度的数据统计以及同比环比情况，统计数据可进行下钻透视到具体的项目信息。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智能定性</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审计人员输入审计或调查事项发现的问题的客观描述后，系统能够对问题的性质对照相应的法规予以定性，并提出相应的处理意见和建议。</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审计整改监督</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项目挂号</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政策法规处可以添加和维护计划外项目信息和问题信息，指定计划外项目主审；</w:t>
                  </w:r>
                </w:p>
                <w:p>
                  <w:pPr>
                    <w:pStyle w:val="null3"/>
                    <w:jc w:val="left"/>
                  </w:pPr>
                  <w:r>
                    <w:rPr>
                      <w:rFonts w:ascii="仿宋_GB2312" w:hAnsi="仿宋_GB2312" w:cs="仿宋_GB2312" w:eastAsia="仿宋_GB2312"/>
                      <w:sz w:val="24"/>
                      <w:color w:val="000000"/>
                    </w:rPr>
                    <w:t>项目主审可以对计划内和计划外项目进行挂号操作，挂号前需要维护更新被审计单位的联系人和电话等信息，项目挂号需经流程审批，项目完成挂号信息不可修改。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问题核查</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项目主审可查看被审计单位的反馈资料，对反馈的资料进行核查确认并标记该问题是否已完成整改。对未完成整改的问题要求其继续整改，对整改完成的问题发起销号审批流程。可以查看多次反馈的历史记录。</w:t>
                  </w:r>
                </w:p>
                <w:p>
                  <w:pPr>
                    <w:pStyle w:val="null3"/>
                    <w:jc w:val="left"/>
                  </w:pPr>
                  <w:r>
                    <w:rPr>
                      <w:rFonts w:ascii="仿宋_GB2312" w:hAnsi="仿宋_GB2312" w:cs="仿宋_GB2312" w:eastAsia="仿宋_GB2312"/>
                      <w:sz w:val="24"/>
                      <w:color w:val="000000"/>
                    </w:rPr>
                    <w:t>项目主审可对被审计单位的延期申请进行查看和审批。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问题督办</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政策法规处可以对已挂号未销号的问题按整改类型设置自动预警规则，达到预警条件可以给审计人员发送预警通知；</w:t>
                  </w:r>
                </w:p>
                <w:p>
                  <w:pPr>
                    <w:pStyle w:val="null3"/>
                    <w:jc w:val="left"/>
                  </w:pPr>
                  <w:r>
                    <w:rPr>
                      <w:rFonts w:ascii="仿宋_GB2312" w:hAnsi="仿宋_GB2312" w:cs="仿宋_GB2312" w:eastAsia="仿宋_GB2312"/>
                      <w:sz w:val="24"/>
                      <w:color w:val="000000"/>
                    </w:rPr>
                    <w:t>政策法规处可以根据问题整改程度对审计人员进行督办，给审计人员发送督办通知。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项目销号</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项目主审可对已完成整改的项目发起销号审批，销号后项目在被审计单位端不再显示，销号时可补充相关资料，销号后整改项目过程资料皆不可更改；可查看自动汇总的项目整改成果；可根据模板生成整改报告。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项目查看</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政策法规处可对已销号或全部的历史项目进行查看，可查看项目的整改全过程资料和成果。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项目移交</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项目主审可以将自己的项目权限移交给处室其他人员，发起移交审批。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整改成果分析</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根据项目整改情况按各项指标进行统计分析，为业务管理和领导决策提供支持。分析指标包括：总体项目数、问题数、整体整改率、整改类型分析、问题整改率趋势分析、项目整改率对比分析、整改成果统计分布、各项目整改进度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被审计单位在线整改管理和信息直报子系统</w:t>
                  </w:r>
                </w:p>
                <w:p>
                  <w:pPr>
                    <w:pStyle w:val="null3"/>
                    <w:jc w:val="center"/>
                  </w:p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被审计单位可以查看本单位涉及的整改项目信息、问题信息，被审计单位按整改要求和整改事项逐个反馈整改措施、整改成果，并上传相关整改资料。</w:t>
                  </w:r>
                </w:p>
                <w:p>
                  <w:pPr>
                    <w:pStyle w:val="null3"/>
                    <w:jc w:val="left"/>
                  </w:pPr>
                  <w:r>
                    <w:rPr>
                      <w:rFonts w:ascii="仿宋_GB2312" w:hAnsi="仿宋_GB2312" w:cs="仿宋_GB2312" w:eastAsia="仿宋_GB2312"/>
                      <w:sz w:val="24"/>
                      <w:color w:val="000000"/>
                    </w:rPr>
                    <w:t>被审计单位可以对需要延期的问题发起延期申请，延期申请经审计人员审批通过后生效。</w:t>
                  </w:r>
                </w:p>
              </w:tc>
            </w:tr>
            <w:tr>
              <w:tc>
                <w:tcPr>
                  <w:tcW w:type="dxa" w:w="24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被审计单位基础信息数据在线填报和数据库管理子系统</w:t>
                  </w:r>
                </w:p>
              </w:tc>
              <w:tc>
                <w:tcPr>
                  <w:tcW w:type="dxa" w:w="3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被审计单位库</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审计人员可对被审计单位库进行初始规划，可自动汇总被审计单位填报的基本信息，形成被审计单位库。</w:t>
                  </w:r>
                </w:p>
                <w:p>
                  <w:pPr>
                    <w:pStyle w:val="null3"/>
                    <w:jc w:val="left"/>
                  </w:pPr>
                  <w:r>
                    <w:rPr>
                      <w:rFonts w:ascii="仿宋_GB2312" w:hAnsi="仿宋_GB2312" w:cs="仿宋_GB2312" w:eastAsia="仿宋_GB2312"/>
                      <w:sz w:val="24"/>
                      <w:color w:val="000000"/>
                    </w:rPr>
                    <w:t>审计人员可对被审计单位填报的本单位和下级单位的基本信息和相关资料进行审核。</w:t>
                  </w:r>
                </w:p>
                <w:p>
                  <w:pPr>
                    <w:pStyle w:val="null3"/>
                    <w:jc w:val="left"/>
                  </w:pPr>
                  <w:r>
                    <w:rPr>
                      <w:rFonts w:ascii="仿宋_GB2312" w:hAnsi="仿宋_GB2312" w:cs="仿宋_GB2312" w:eastAsia="仿宋_GB2312"/>
                      <w:sz w:val="24"/>
                      <w:color w:val="000000"/>
                    </w:rPr>
                    <w:t>审计人员可对被审计单位库进行维护。</w:t>
                  </w:r>
                </w:p>
                <w:p>
                  <w:pPr>
                    <w:pStyle w:val="null3"/>
                    <w:jc w:val="left"/>
                  </w:pPr>
                </w:p>
              </w:tc>
            </w:tr>
            <w:tr>
              <w:tc>
                <w:tcPr>
                  <w:tcW w:type="dxa" w:w="243"/>
                  <w:vMerge/>
                  <w:tcBorders>
                    <w:top w:val="none" w:color="000000" w:sz="4"/>
                    <w:left w:val="single" w:color="000000" w:sz="4"/>
                    <w:bottom w:val="none" w:color="000000" w:sz="4"/>
                    <w:right w:val="single" w:color="000000" w:sz="4"/>
                  </w:tcBorders>
                </w:tcPr>
                <w:p/>
              </w:tc>
              <w:tc>
                <w:tcPr>
                  <w:tcW w:type="dxa" w:w="552"/>
                  <w:vMerge/>
                  <w:tcBorders>
                    <w:top w:val="none" w:color="000000" w:sz="4"/>
                    <w:left w:val="none" w:color="000000" w:sz="4"/>
                    <w:bottom w:val="non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被审计单位对本单位及下级单位的基本信息进行填报和维护，上传相关资料等。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52"/>
                  <w:vMerge/>
                  <w:tcBorders>
                    <w:top w:val="none" w:color="000000" w:sz="4"/>
                    <w:left w:val="non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数据资料请求</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审计人员可根据需求给被审计单位发送资料请求，可选择项目或者多个被审计单位，被审计单位人员根据请求填报对应的项目资料或文件资料。</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52"/>
                  <w:vMerge/>
                  <w:tcBorders>
                    <w:top w:val="none" w:color="000000" w:sz="4"/>
                    <w:left w:val="non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项目填报</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被审计单位根据涉及本单位的审计项目要求填报相关的资料、数据、文件等。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52"/>
                  <w:vMerge/>
                  <w:tcBorders>
                    <w:top w:val="none" w:color="000000" w:sz="4"/>
                    <w:left w:val="non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资料填报</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被审计单位根据审计厅要求填报相关的资料、数据、文件等。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市县审计机关协同审计整改管理子系统</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整改问题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市县审计人员对需要整改的问题进行新增、修改、删除操作，录入和维护问题清单，可根据模版进行导入导出。可将整改结果上报给上级审计单位。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问题分配</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市县整改负责人可对问题进行分配，为每个问题指定责任处（科）室、牵头处（科）室、责任人等。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问题核查</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改责任人接收到问题清单后根据整改情况反馈对应的整改资料，并发起问题核查的流程。审批人对未完成整改的问题要求其继续整改，对整改完成的问题发起销号审批流程。整改责任人对需要延期的问题发起延期审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核查审批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审批人员查询问题核查审批流程并对流转到自己的审批节点进行审批。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销延审批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审批人员查询问题销号和延期的审批流程并对流转到自己的审批节点进行审批。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整改分析</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可根据项目整改情况按各项指标进行统计分析，为业务管理和领导决策提供支持。分析指标包括：问题整改率、整改进度等。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用户与权限</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管理员可以对用户、组织、角色及系统权限进行管理。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52"/>
                  <w:vMerge/>
                  <w:tcBorders>
                    <w:top w:val="none" w:color="000000" w:sz="4"/>
                    <w:left w:val="non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系统配置</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管理员可以配置系统基本信息、用户权限、数据字典等，进行日志管理，工作流配置。</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项目开发实施团队人员配置须不少于8名，其中包括：项目经理1名、技术负责人1名、开发人员不少于4名、业务专家1名、测试人员1名。</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合同签订之日起6个月内完成项目竣工验收。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项目合同初验后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项目合同终验后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按国家现行规范标准等要求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未按合同及招标文件要求提供服务、不能满足采购要求，乙方必须无条件变更调整，提高和完善服务质量，否则，甲方有权终止合同，并要求乙方对违约行为造成的甲方损失进行赔偿，赔偿方式详见本条第3款。 （二）乙方不得把甲方数据、软件、用户名、密码、系统结构、网络配置泄露给任何第三方，如因该情形给甲方造成损失的，应赔偿甲方造成的所有损失。 （三）若乙方未完全履行本合同所约定的义务，并在接到甲方书面或其他通知提出30日内仍未予以纠正时，甲方有权单方解除本合同，本合同自甲方解除通知送达之日解除。乙方在接到甲方解除通知后30日内须以【转账或支票】的方式退还甲方已支付未提供服务的内容及时间的全部费用，甲方未支付的费用不再支付，未返还的履约保证金不再返还。 （四）依据《中华人民共和国民法典》、《中华人民共和国政府采购法》的相关条款和本合同约定，乙方未全面履行合同义务或者发生违约，甲方会同采购代理机构有权终止合同，依法向乙方进行经济索赔，并报请政府采购监督管理机关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详见单一来源采购文件要求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授权书.docx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法定代表人授权书（附法定代表人、被授权人身份证复印件）及被授权人身份证复印件（法定代表人直接参加，只需提供法定代表人身份证复印件）；</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报告须带有二维码可验证,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提供至今连续6个月的纳税证明或完税证明，纳税证明或完税证明上应有代收机构或税务机关的公章，依法免税的投标单位应提供相关文件证明；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提供至今连续6个月已缴存的社会保障资金缴存单据或社保机构开具的社会保险参保缴费情况证明，依法不需要缴纳社会保障资金的单位应提供相关证明材料；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 授权书.docx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投标文件按单一来源采购文件要求的数量、计量单位、报价货币及签字盖章</w:t>
            </w:r>
          </w:p>
        </w:tc>
        <w:tc>
          <w:tcPr>
            <w:tcW w:type="dxa" w:w="3322"/>
          </w:tcPr>
          <w:p>
            <w:pPr>
              <w:pStyle w:val="null3"/>
            </w:pPr>
            <w:r>
              <w:rPr>
                <w:rFonts w:ascii="仿宋_GB2312" w:hAnsi="仿宋_GB2312" w:cs="仿宋_GB2312" w:eastAsia="仿宋_GB2312"/>
              </w:rPr>
              <w:t>投标文件按单一来源采购文件要求的数量、计量单位、报价货币及签字盖章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投标有效期达到单一来源采购文件要求</w:t>
            </w:r>
          </w:p>
        </w:tc>
        <w:tc>
          <w:tcPr>
            <w:tcW w:type="dxa" w:w="3322"/>
          </w:tcPr>
          <w:p>
            <w:pPr>
              <w:pStyle w:val="null3"/>
            </w:pPr>
            <w:r>
              <w:rPr>
                <w:rFonts w:ascii="仿宋_GB2312" w:hAnsi="仿宋_GB2312" w:cs="仿宋_GB2312" w:eastAsia="仿宋_GB2312"/>
              </w:rPr>
              <w:t>投标有效期达到单一来源采购文件要求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响应文件的投标报价、服务期等达到单一来源采购文件要求</w:t>
            </w:r>
          </w:p>
        </w:tc>
        <w:tc>
          <w:tcPr>
            <w:tcW w:type="dxa" w:w="3322"/>
          </w:tcPr>
          <w:p>
            <w:pPr>
              <w:pStyle w:val="null3"/>
            </w:pPr>
            <w:r>
              <w:rPr>
                <w:rFonts w:ascii="仿宋_GB2312" w:hAnsi="仿宋_GB2312" w:cs="仿宋_GB2312" w:eastAsia="仿宋_GB2312"/>
              </w:rPr>
              <w:t>响应文件的投标报价、服务期等达到单一来源采购文件要求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授权书.docx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