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版本号：SDZC2025-03020250916001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智慧航道链路费（航运海事专网链路租赁项目）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SDZC2025-030</w:t>
      </w:r>
      <w:r>
        <w:br/>
      </w:r>
      <w:r>
        <w:br/>
      </w:r>
      <w:r>
        <w:br/>
      </w:r>
    </w:p>
    <w:p>
      <w:pPr>
        <w:pStyle w:val="null3"/>
        <w:jc w:val="center"/>
        <w:outlineLvl w:val="2"/>
      </w:pPr>
      <w:r>
        <w:rPr>
          <w:rFonts w:ascii="仿宋_GB2312" w:hAnsi="仿宋_GB2312" w:cs="仿宋_GB2312" w:eastAsia="仿宋_GB2312"/>
          <w:sz w:val="28"/>
          <w:b/>
        </w:rPr>
        <w:t>陕西省水路交通事业发展中心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陕西省水路交通事业发展中心</w:t>
      </w:r>
      <w:r>
        <w:rPr>
          <w:rFonts w:ascii="仿宋_GB2312" w:hAnsi="仿宋_GB2312" w:cs="仿宋_GB2312" w:eastAsia="仿宋_GB2312"/>
        </w:rPr>
        <w:t>委托，拟对</w:t>
      </w:r>
      <w:r>
        <w:rPr>
          <w:rFonts w:ascii="仿宋_GB2312" w:hAnsi="仿宋_GB2312" w:cs="仿宋_GB2312" w:eastAsia="仿宋_GB2312"/>
        </w:rPr>
        <w:t>智慧航道链路费（航运海事专网链路租赁项目）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智慧航道链路费（航运海事专网链路租赁项目）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智慧航道链路费（航运海事专网链路租赁项目）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文件）</w:t>
      </w:r>
    </w:p>
    <w:p>
      <w:pPr>
        <w:pStyle w:val="null3"/>
      </w:pPr>
      <w:r>
        <w:rPr>
          <w:rFonts w:ascii="仿宋_GB2312" w:hAnsi="仿宋_GB2312" w:cs="仿宋_GB2312" w:eastAsia="仿宋_GB2312"/>
        </w:rPr>
        <w:t>5、履行合同承诺：提供具有履行本合同所必需的设备和专业技术能力的说明及承诺（提供书面说明及承诺，加盖供应商公章）；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6、无违法声明：提供参加政府采购活动前三年内在经营活动中没有重大违法记录的书面声明（提供书面声明，加盖供应商公章）；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8、磋商保证金或担保函：磋商保证金交纳凭证或担保函；（磋商保证金交纳凭证为银行凭证及基本账户证明资料，担保函为财政部门认可的政府采购信用担保机构出具）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 (http://www.creditchina.gov.cn)列入“失信被执行人（页面跳转至“中国执行信息公开网” http://zxgk.court.gov.cn/shixin/）、重大税收违法失信主体、政府采购严重违法失信行为记录名单”的供应商；不得为中国政府采购网 (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陕西省水路交通事业发展中心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西安市莲湖区药王洞18号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029-87340753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宋薇（02号工位）、姚文霄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029-86673953、86518381、89299829、89293231转802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 1151 0000 0135 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向陕西上德招标有限公司交纳招标代理服务费。服务费收费标准参照原《国家计委关于印发&lt;招标代理服务收费管理暂行办法&gt;的通知》(计价格〔2002〕1980号)，招标代理服务费不足陆仟元时按陆仟元收取。汇款账户： 1.开户行名称：陕西上德招标有限公司 2.开户行：西安银行股份有限公司文景路支行 3.帐号：707011510000013522 财务部联系方式：029-86673953、029-86518381、029-89299829、029-89293231 转813 备注：供应商在汇款（成交服务费）时须注明项目编号+项目简称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陕西省水路交通事业发展中心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陕西省水路交通事业发展中心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陕西省水路交通事业发展中心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提供整体网络运行报告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联系人：宋薇（02号工位）、姚文霄</w:t>
      </w:r>
    </w:p>
    <w:p>
      <w:pPr>
        <w:pStyle w:val="null3"/>
      </w:pPr>
      <w:r>
        <w:rPr>
          <w:rFonts w:ascii="仿宋_GB2312" w:hAnsi="仿宋_GB2312" w:cs="仿宋_GB2312" w:eastAsia="仿宋_GB2312"/>
        </w:rPr>
        <w:t>联系电话：029-86673953、86518381、89299829、89293231转802</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智慧航道链路费（航运海事专网链路租赁项目）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1,440,000.00</w:t>
      </w:r>
    </w:p>
    <w:p>
      <w:pPr>
        <w:pStyle w:val="null3"/>
      </w:pPr>
      <w:r>
        <w:rPr>
          <w:rFonts w:ascii="仿宋_GB2312" w:hAnsi="仿宋_GB2312" w:cs="仿宋_GB2312" w:eastAsia="仿宋_GB2312"/>
        </w:rPr>
        <w:t>采购包最高限价（元）: 1,440,000.00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航运海事专网链路租赁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1,440,000.00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标的名称：航运海事专网链路租赁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项目实施内容</w:t>
            </w:r>
          </w:p>
          <w:p>
            <w:pPr>
              <w:pStyle w:val="null3"/>
            </w:pPr>
            <w:r>
              <w:rPr>
                <w:rFonts w:ascii="仿宋_GB2312" w:hAnsi="仿宋_GB2312" w:cs="仿宋_GB2312" w:eastAsia="仿宋_GB2312"/>
              </w:rPr>
              <w:t>为智慧航道链路费（航运海事专网链路租赁项目）141个监控点位，12个AIS基站提供传输链路及监控设备供电服务，包括搭建专用传输网络，部署传输、交换设备、监控设备电力供应线路；点对点链路租赁、AIS基站及外场数据采集终端供电、链路电路维护等；提供市电接入以及停电后不间断电源保障服务，以及日常7*24小时网络运行维护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项目实施要求</w:t>
            </w:r>
          </w:p>
          <w:p>
            <w:pPr>
              <w:pStyle w:val="null3"/>
            </w:pPr>
            <w:r>
              <w:rPr>
                <w:rFonts w:ascii="仿宋_GB2312" w:hAnsi="仿宋_GB2312" w:cs="仿宋_GB2312" w:eastAsia="仿宋_GB2312"/>
              </w:rPr>
              <w:t>1、本次服务需提供相关所有电力线路、传输网络、电源设备的安装、调试等相关技术服务。</w:t>
            </w:r>
          </w:p>
          <w:p>
            <w:pPr>
              <w:pStyle w:val="null3"/>
            </w:pPr>
            <w:r>
              <w:rPr>
                <w:rFonts w:ascii="仿宋_GB2312" w:hAnsi="仿宋_GB2312" w:cs="仿宋_GB2312" w:eastAsia="仿宋_GB2312"/>
              </w:rPr>
              <w:t>2、本项目需要确保所有监控摄像机、AIS基站在市电停电后3个小时内恢复。整体监控点位和AIS基站因为市电、传输故障导致设备离线率不超过5%。</w:t>
            </w:r>
          </w:p>
          <w:p>
            <w:pPr>
              <w:pStyle w:val="null3"/>
            </w:pPr>
            <w:r>
              <w:rPr>
                <w:rFonts w:ascii="仿宋_GB2312" w:hAnsi="仿宋_GB2312" w:cs="仿宋_GB2312" w:eastAsia="仿宋_GB2312"/>
              </w:rPr>
              <w:t>3、电力保障及传输网络施工标准应符合国家相关电力、通信技术标准。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根据服务要求自行配备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根据服务要求自行配备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采购人指定地点（陕西省区域内）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合同签订后30日内，甲方在收到乙方出具合同金额40%增值税普通发票后支付合同价款的40%作为预付款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合同执行至2025年10月31日时，无合同约定的违约行为,2025年11月30日前支付合同总金额的60%，付款前乙方需出具合同金额60%增值税普通发票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1、成交人在领取成交通知书时提供一正两副纸质竞争性磋商响应文件。 装订：纸质竞争性磋商响应文件采用书籍（胶装）方式装订成册，与电子版文件一致的签字、盖章的完整版本，编制书脊（注明项目名称、项目编号）。 2、本项目采购标的对应的中小企业划分标准所属行业为（信息传输业）。3.退还磋商保证金：3.1在磋商截止时间前撤回已提交磋商响应文件的供应商的磋商保证金，将在采购代理机构收到供应商书面撤回通知之日起5个工作日内退还；3.2所有未成交供应商的磋商保证金，将在成交通知书发出后5个工作日内退还；3.3成交的供应商的磋商保证金在签订合同后，执合同予以5个工作日内退还。4.如磋商发生下列情况之一时，磋商保证金将不予退还，提供担保函的供应商将由专业担保机构先行偿付采购人损失：4.1供应商提供虚假资质谋取成交的；4.2供应商有围标、串标现象，经查证属实的；4.3供应商在竞争性磋商文件规定的磋商响应有效期内撤回磋商响应文件的；4.4供应商自行放弃成交资格的；4.5成交供应商不在规定的时效内领取《成交通知书》的；4.6成交供应商不按规定支付招标代理服务费的；4.7成交供应商因自身原因未能在规定期限内与采购人签订合同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供应商需在项目电子化交易系统中按要求上传相应证明文件并进行电子签章。此项审查内容与特定资格条件中的第二项“财务状况报告”为同一审查内容。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供应商需在项目电子化交易系统中按要求填写《投标函》完成承诺并进行电子签章。此项审查内容与特定资格条件中的第九项“控股关系查询”为同一审查内容。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无违法声明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磋商保证金或担保函</w:t>
            </w:r>
          </w:p>
        </w:tc>
        <w:tc>
          <w:tcPr>
            <w:tcW w:type="dxa" w:w="3322"/>
          </w:tcPr>
          <w:p>
            <w:pPr>
              <w:pStyle w:val="null3"/>
            </w:pPr>
            <w:r>
              <w:rPr>
                <w:rFonts w:ascii="仿宋_GB2312" w:hAnsi="仿宋_GB2312" w:cs="仿宋_GB2312" w:eastAsia="仿宋_GB2312"/>
              </w:rPr>
              <w:t>磋商保证金交纳凭证或担保函；（磋商保证金交纳凭证为银行凭证及基本账户证明资料，担保函为财政部门认可的政府采购信用担保机构出具）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 (http://www.creditchina.gov.cn)列入“失信被执行人（页面跳转至“中国执行信息公开网” http://zxgk.court.gov.cn/shixin/）、重大税收违法失信主体、政府采购严重违法失信行为记录名单”的供应商；不得为中国政府采购网 (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除明确允许供应商可以自行编写的外，磋商响应文件按照磋商文件给定的格式编制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设备.docx 业绩.docx 项目进度计划方案.docx 培训方案.docx 软件应用安全.docx 人员配备.docx 中小企业声明函 项目运维服务方案.docx 服务承诺.docx 承诺书.docx 商务条款响应偏离表.docx 服务内容及服务要求响应偏离表.docx 资格证明文件.docx 响应文件封面 《拒绝政府采购领域商业贿赂承诺书》.docx 重点、难点分析与解决方案.docx 应急处理预案.docx 残疾人福利性单位声明函 总体服务方案.docx 标的清单 响应函 质量安全管理保障措施.docx 供应商认为有必要补充说明的事宜.docx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磋商响应文件按照磋商文件的要求盖章签字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设备.docx 业绩.docx 项目进度计划方案.docx 培训方案.docx 软件应用安全.docx 人员配备.docx 中小企业声明函 项目运维服务方案.docx 服务承诺.docx 承诺书.docx 商务条款响应偏离表.docx 服务内容及服务要求响应偏离表.docx 资格证明文件.docx 响应文件封面 《拒绝政府采购领域商业贿赂承诺书》.docx 重点、难点分析与解决方案.docx 应急处理预案.docx 残疾人福利性单位声明函 总体服务方案.docx 标的清单 响应函 质量安全管理保障措施.docx 供应商认为有必要补充说明的事宜.docx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磋商报价不得超过采购预算</w:t>
            </w:r>
          </w:p>
        </w:tc>
        <w:tc>
          <w:tcPr>
            <w:tcW w:type="dxa" w:w="3322"/>
          </w:tcPr>
          <w:p>
            <w:pPr>
              <w:pStyle w:val="null3"/>
            </w:pPr>
            <w:r>
              <w:rPr>
                <w:rFonts w:ascii="仿宋_GB2312" w:hAnsi="仿宋_GB2312" w:cs="仿宋_GB2312" w:eastAsia="仿宋_GB2312"/>
              </w:rPr>
              <w:t>磋商报价是否超过采购预算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磋商有效期符合磋商文件的要求</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设备.docx 项目进度计划方案.docx 人员配备.docx 服务承诺.docx 承诺书.docx 报价表 资格证明文件.docx 《拒绝政府采购领域商业贿赂承诺书》.docx 重点、难点分析与解决方案.docx 应急处理预案.docx 总体服务方案.docx 标的清单 供应商认为有必要补充说明的事宜.docx 监狱企业的证明文件 业绩.docx 培训方案.docx 软件应用安全.docx 中小企业声明函 项目运维服务方案.docx 商务条款响应偏离表.docx 服务内容及服务要求响应偏离表.docx 响应文件封面 残疾人福利性单位声明函 响应函 质量安全管理保障措施.docx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对磋商文件商务要求作出明确且实质性响应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设备.docx 项目进度计划方案.docx 人员配备.docx 服务承诺.docx 承诺书.docx 报价表 资格证明文件.docx 《拒绝政府采购领域商业贿赂承诺书》.docx 重点、难点分析与解决方案.docx 应急处理预案.docx 总体服务方案.docx 标的清单 供应商认为有必要补充说明的事宜.docx 监狱企业的证明文件 业绩.docx 培训方案.docx 软件应用安全.docx 中小企业声明函 项目运维服务方案.docx 商务条款响应偏离表.docx 服务内容及服务要求响应偏离表.docx 响应文件封面 残疾人福利性单位声明函 响应函 质量安全管理保障措施.docx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对磋商文件服务内容及服务要求作出明确响应，对不得偏离的要求作出实质性响应</w:t>
            </w:r>
          </w:p>
        </w:tc>
        <w:tc>
          <w:tcPr>
            <w:tcW w:type="dxa" w:w="3322"/>
          </w:tcPr>
          <w:p>
            <w:pPr>
              <w:pStyle w:val="null3"/>
            </w:pPr>
            <w:r>
              <w:rPr>
                <w:rFonts w:ascii="仿宋_GB2312" w:hAnsi="仿宋_GB2312" w:cs="仿宋_GB2312" w:eastAsia="仿宋_GB2312"/>
              </w:rPr>
              <w:t>对磋商文件服务内容及服务要求是否作出明确响应，对不得偏离的要求是否作出了实质性响应</w:t>
            </w:r>
          </w:p>
        </w:tc>
        <w:tc>
          <w:tcPr>
            <w:tcW w:type="dxa" w:w="1661"/>
          </w:tcPr>
          <w:p>
            <w:pPr>
              <w:pStyle w:val="null3"/>
            </w:pPr>
            <w:r>
              <w:rPr>
                <w:rFonts w:ascii="仿宋_GB2312" w:hAnsi="仿宋_GB2312" w:cs="仿宋_GB2312" w:eastAsia="仿宋_GB2312"/>
              </w:rPr>
              <w:t>设备.docx 项目进度计划方案.docx 人员配备.docx 服务承诺.docx 承诺书.docx 报价表 资格证明文件.docx 《拒绝政府采购领域商业贿赂承诺书》.docx 重点、难点分析与解决方案.docx 应急处理预案.docx 总体服务方案.docx 标的清单 供应商认为有必要补充说明的事宜.docx 监狱企业的证明文件 业绩.docx 培训方案.docx 软件应用安全.docx 中小企业声明函 项目运维服务方案.docx 商务条款响应偏离表.docx 服务内容及服务要求响应偏离表.docx 响应文件封面 残疾人福利性单位声明函 响应函 质量安全管理保障措施.docx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是否有法律、法规和磋商文件规定的其他无效响应情形</w:t>
            </w:r>
          </w:p>
        </w:tc>
        <w:tc>
          <w:tcPr>
            <w:tcW w:type="dxa" w:w="1661"/>
          </w:tcPr>
          <w:p>
            <w:pPr>
              <w:pStyle w:val="null3"/>
            </w:pPr>
            <w:r>
              <w:rPr>
                <w:rFonts w:ascii="仿宋_GB2312" w:hAnsi="仿宋_GB2312" w:cs="仿宋_GB2312" w:eastAsia="仿宋_GB2312"/>
              </w:rPr>
              <w:t>设备.docx 项目进度计划方案.docx 人员配备.docx 服务承诺.docx 承诺书.docx 报价表 资格证明文件.docx 《拒绝政府采购领域商业贿赂承诺书》.docx 重点、难点分析与解决方案.docx 应急处理预案.docx 总体服务方案.docx 标的清单 供应商认为有必要补充说明的事宜.docx 监狱企业的证明文件 业绩.docx 培训方案.docx 软件应用安全.docx 中小企业声明函 项目运维服务方案.docx 商务条款响应偏离表.docx 服务内容及服务要求响应偏离表.docx 响应文件封面 残疾人福利性单位声明函 响应函 质量安全管理保障措施.docx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磋商响应文件含有采购人不能接受的附加条件</w:t>
            </w:r>
          </w:p>
        </w:tc>
        <w:tc>
          <w:tcPr>
            <w:tcW w:type="dxa" w:w="3322"/>
          </w:tcPr>
          <w:p>
            <w:pPr>
              <w:pStyle w:val="null3"/>
            </w:pPr>
            <w:r>
              <w:rPr>
                <w:rFonts w:ascii="仿宋_GB2312" w:hAnsi="仿宋_GB2312" w:cs="仿宋_GB2312" w:eastAsia="仿宋_GB2312"/>
              </w:rPr>
              <w:t>磋商响应文件是否含有采购人不能接受的附加条件</w:t>
            </w:r>
          </w:p>
        </w:tc>
        <w:tc>
          <w:tcPr>
            <w:tcW w:type="dxa" w:w="1661"/>
          </w:tcPr>
          <w:p>
            <w:pPr>
              <w:pStyle w:val="null3"/>
            </w:pPr>
            <w:r>
              <w:rPr>
                <w:rFonts w:ascii="仿宋_GB2312" w:hAnsi="仿宋_GB2312" w:cs="仿宋_GB2312" w:eastAsia="仿宋_GB2312"/>
              </w:rPr>
              <w:t>设备.docx 项目进度计划方案.docx 人员配备.docx 服务承诺.docx 承诺书.docx 报价表 资格证明文件.docx 《拒绝政府采购领域商业贿赂承诺书》.docx 重点、难点分析与解决方案.docx 应急处理预案.docx 总体服务方案.docx 标的清单 供应商认为有必要补充说明的事宜.docx 监狱企业的证明文件 业绩.docx 培训方案.docx 软件应用安全.docx 中小企业声明函 项目运维服务方案.docx 商务条款响应偏离表.docx 服务内容及服务要求响应偏离表.docx 响应文件封面 残疾人福利性单位声明函 响应函 质量安全管理保障措施.docx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投标人针对本项目实际情况所拟定的总体服务方案，不同类型的服务内容有相应的针对性方案。 ①方案详细，内容全面，安排合理的，贴合本项目实际需求，计10分； ②针对方案，只有书面承诺，缺少具体措施办法及标准，计6分； ③方案粗略，只有简短描述，无具体内容的，计3分； ④未提供不计分。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重点、难点分析与解决方案</w:t>
            </w:r>
          </w:p>
        </w:tc>
        <w:tc>
          <w:tcPr>
            <w:tcW w:type="dxa" w:w="2492"/>
          </w:tcPr>
          <w:p>
            <w:pPr>
              <w:pStyle w:val="null3"/>
            </w:pPr>
            <w:r>
              <w:rPr>
                <w:rFonts w:ascii="仿宋_GB2312" w:hAnsi="仿宋_GB2312" w:cs="仿宋_GB2312" w:eastAsia="仿宋_GB2312"/>
              </w:rPr>
              <w:t>重点、难点分析与解决方案: ①重点及难点把握准确，分析到位，解决措施科学完善、切实可行，能保障项目顺利实施，计6分； ②重点及难点把握基本准确，分析简单，解决措施合理可行，能基本保障项目实施，计4分； ③重点及难点把握分析欠缺，无针对性，措施内容空泛，计2分。 ④未提供不计分。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重点、难点分析与解决方案.docx</w:t>
            </w:r>
          </w:p>
        </w:tc>
      </w:tr>
      <w:tr>
        <w:tc>
          <w:tcPr>
            <w:tcW w:type="dxa" w:w="831"/>
            <w:vMerge/>
          </w:tcPr>
          <w:p/>
        </w:tc>
        <w:tc>
          <w:tcPr>
            <w:tcW w:type="dxa" w:w="1661"/>
          </w:tcPr>
          <w:p>
            <w:pPr>
              <w:pStyle w:val="null3"/>
            </w:pPr>
            <w:r>
              <w:rPr>
                <w:rFonts w:ascii="仿宋_GB2312" w:hAnsi="仿宋_GB2312" w:cs="仿宋_GB2312" w:eastAsia="仿宋_GB2312"/>
              </w:rPr>
              <w:t>项目进度计划方案</w:t>
            </w:r>
          </w:p>
        </w:tc>
        <w:tc>
          <w:tcPr>
            <w:tcW w:type="dxa" w:w="2492"/>
          </w:tcPr>
          <w:p>
            <w:pPr>
              <w:pStyle w:val="null3"/>
            </w:pPr>
            <w:r>
              <w:rPr>
                <w:rFonts w:ascii="仿宋_GB2312" w:hAnsi="仿宋_GB2312" w:cs="仿宋_GB2312" w:eastAsia="仿宋_GB2312"/>
              </w:rPr>
              <w:t>提供详细的项目进度计划方案: ①计划方案详细、工作节点清晰、合理、实施进度安排完全满足项目需求，计6分； ②计划方案只有书面承诺，缺少具体进度方案，工作节点描述简略，计4分; ③计划方案粗略，工作节点描述不清晰，实施进度安排不明确，计2分。 ④未提供不计分。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项目进度计划方案.docx</w:t>
            </w:r>
          </w:p>
        </w:tc>
      </w:tr>
      <w:tr>
        <w:tc>
          <w:tcPr>
            <w:tcW w:type="dxa" w:w="831"/>
            <w:vMerge/>
          </w:tcPr>
          <w:p/>
        </w:tc>
        <w:tc>
          <w:tcPr>
            <w:tcW w:type="dxa" w:w="1661"/>
          </w:tcPr>
          <w:p>
            <w:pPr>
              <w:pStyle w:val="null3"/>
            </w:pPr>
            <w:r>
              <w:rPr>
                <w:rFonts w:ascii="仿宋_GB2312" w:hAnsi="仿宋_GB2312" w:cs="仿宋_GB2312" w:eastAsia="仿宋_GB2312"/>
              </w:rPr>
              <w:t>质量安全管理保障措施</w:t>
            </w:r>
          </w:p>
        </w:tc>
        <w:tc>
          <w:tcPr>
            <w:tcW w:type="dxa" w:w="2492"/>
          </w:tcPr>
          <w:p>
            <w:pPr>
              <w:pStyle w:val="null3"/>
            </w:pPr>
            <w:r>
              <w:rPr>
                <w:rFonts w:ascii="仿宋_GB2312" w:hAnsi="仿宋_GB2312" w:cs="仿宋_GB2312" w:eastAsia="仿宋_GB2312"/>
              </w:rPr>
              <w:t>提供质量安全管理保障措施： ①保障措施详细，内容全面，计6分； ②保障措施只有书面承诺，缺少具体措施方法的，计4分； ③保障措施粗略，只有简短描述的，计2分。 ④未提供不计分。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质量安全管理保障措施.docx</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提供应急保障措施，对于各类突发事件具有应急响应方案： ①应急响应方案全面、合理，供应商所预估的紧急情况贴合本项目服务内容，对于设备由于电源故障有详细的应急服务方案，传输故障有可行的应急解决方案，提供设备应急保障案例，计10分； ②应急响应方案详细合理，保障措施说明全面，但未提供设备应急保障案例，计8分； ③应急响应方案只有书面承诺，缺少具体方式方法的，提供设备应急保障案例，计6分； ④应急响应方案只有书面承诺，缺少具体方式方法且未提供设备应急保障案例，计4分； ⑤应急响应方案描述粗略，只有简短说明的，计2分。 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应急处理预案.docx</w:t>
            </w:r>
          </w:p>
        </w:tc>
      </w:tr>
      <w:tr>
        <w:tc>
          <w:tcPr>
            <w:tcW w:type="dxa" w:w="831"/>
            <w:vMerge/>
          </w:tcPr>
          <w:p/>
        </w:tc>
        <w:tc>
          <w:tcPr>
            <w:tcW w:type="dxa" w:w="1661"/>
          </w:tcPr>
          <w:p>
            <w:pPr>
              <w:pStyle w:val="null3"/>
            </w:pPr>
            <w:r>
              <w:rPr>
                <w:rFonts w:ascii="仿宋_GB2312" w:hAnsi="仿宋_GB2312" w:cs="仿宋_GB2312" w:eastAsia="仿宋_GB2312"/>
              </w:rPr>
              <w:t>软件应用安全</w:t>
            </w:r>
          </w:p>
        </w:tc>
        <w:tc>
          <w:tcPr>
            <w:tcW w:type="dxa" w:w="2492"/>
          </w:tcPr>
          <w:p>
            <w:pPr>
              <w:pStyle w:val="null3"/>
            </w:pPr>
            <w:r>
              <w:rPr>
                <w:rFonts w:ascii="仿宋_GB2312" w:hAnsi="仿宋_GB2312" w:cs="仿宋_GB2312" w:eastAsia="仿宋_GB2312"/>
              </w:rPr>
              <w:t>供应商的软件开发服务及后期运行维护工作必须在现有安全体制下提出确保系统安全可靠的策略、措施和步骤。提供安全方案及安全保障体系（包括但不限于系统安全、信息安全、管理安全、数据安全等）。 ①方案详细、合理，安全保障体系健全，计6分； ②方案只有书面承诺，缺少具体内容的，安全保障体系不健全，计4分； ③方案内容及安全保障体系粗略，只有简短描述的，计2分； ④未提供不计分。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软件应用安全.docx</w:t>
            </w:r>
          </w:p>
        </w:tc>
      </w:tr>
      <w:tr>
        <w:tc>
          <w:tcPr>
            <w:tcW w:type="dxa" w:w="831"/>
            <w:vMerge/>
          </w:tcPr>
          <w:p/>
        </w:tc>
        <w:tc>
          <w:tcPr>
            <w:tcW w:type="dxa" w:w="1661"/>
          </w:tcPr>
          <w:p>
            <w:pPr>
              <w:pStyle w:val="null3"/>
            </w:pPr>
            <w:r>
              <w:rPr>
                <w:rFonts w:ascii="仿宋_GB2312" w:hAnsi="仿宋_GB2312" w:cs="仿宋_GB2312" w:eastAsia="仿宋_GB2312"/>
              </w:rPr>
              <w:t>项目运维服务方案</w:t>
            </w:r>
          </w:p>
        </w:tc>
        <w:tc>
          <w:tcPr>
            <w:tcW w:type="dxa" w:w="2492"/>
          </w:tcPr>
          <w:p>
            <w:pPr>
              <w:pStyle w:val="null3"/>
            </w:pPr>
            <w:r>
              <w:rPr>
                <w:rFonts w:ascii="仿宋_GB2312" w:hAnsi="仿宋_GB2312" w:cs="仿宋_GB2312" w:eastAsia="仿宋_GB2312"/>
              </w:rPr>
              <w:t>为满足后续智慧航道链路费（航运海事专网链路租赁项目）需求，需具备全省范围内机房资源提供和运维能力。投标人须提供①全省售后服务体系；②服务机构数量、服务区域及明细表；③服务保障措施；④标准规范的技术支持体系；并提供相关证明材料。 ①上述每项方案内容详细全面，计10分； ②上述每项方案方案只有书面承诺，缺少具体实施内容、保障措施、管理体系的，计8分； ③上述每项方案方案描述粗略，只有简短说明的，计6分； ④上述方案每缺少1项，计4分； ⑤上述方案每缺少2-3项，计2分； 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项目运维服务方案.docx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针对本项目及采购人实际需求提供详细具体可行的服务承诺（包括但不限于服务质量承诺、保障措施、合同履行承诺等）及详尽可行的服务实施计划，并阐明可提供的咨询服务内容； ①服务承诺内容全面、形式多样、保障措施描述详细、涵盖范围广，计10分； ②服务承诺只有书面承诺，缺少具体措施方法，涵盖范围有限，形式单一的，计6分； ③服务承诺内容粗略，保障措施只有简短描述，涵盖范围有限，形式单一的，计3分； ④未提供不计分。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人员培训方案：包括但不限于培训组织架构、培训内容、培训方式、培训流程、培训日程安排。 ①培训方案完整、合理，确保相关人员能够熟练操作、维护和正常使用，计6分； ②培训方案只有概况说明，缺少项目具体的培训办法及培训制度的，计4分； ③培训方案内容描述粗略，只有简短说明的，计2分； ④未提供的不计分。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设备</w:t>
            </w:r>
          </w:p>
        </w:tc>
        <w:tc>
          <w:tcPr>
            <w:tcW w:type="dxa" w:w="2492"/>
          </w:tcPr>
          <w:p>
            <w:pPr>
              <w:pStyle w:val="null3"/>
            </w:pPr>
            <w:r>
              <w:rPr>
                <w:rFonts w:ascii="仿宋_GB2312" w:hAnsi="仿宋_GB2312" w:cs="仿宋_GB2312" w:eastAsia="仿宋_GB2312"/>
              </w:rPr>
              <w:t>拟在本项目使用的主要工具、设备： ①工具、设备先进，种类齐全，完全适用本项目服务需求，计4分； ②工具、设备、耗材种类不齐全，计2分； ③未提供不计分。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针对本项目的专业服务团队： ①人员岗位分工明确，管理及岗位制度详细全面，配置合理，且具有丰富的同类项目职业经历，提供相关证明材料，计10分； ②人员岗位分工明确，管理及岗位制度详细全面，人员无同类项目职业经历，计6分； ③人员岗位分工不明确，配置不合理，管理及岗位制度不详细的，计3分； ④人员岗位分工不明确，制度描述粗略，只有简短说明的，计1分； ⑤未提供不得分。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近三年类似项目业绩（服务） 供应商提供合同签订时间在2022年01月01日至今承接的类似项目业绩（以合同形式提供），每1项业绩计1分，最多计6分；未提供不计分。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竞争性磋商文件要求且最后报价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详见附件：重点、难点分析与解决方案.docx</w:t>
      </w:r>
    </w:p>
    <w:p>
      <w:pPr>
        <w:pStyle w:val="null3"/>
        <w:ind w:firstLine="960"/>
      </w:pPr>
      <w:r>
        <w:rPr>
          <w:rFonts w:ascii="仿宋_GB2312" w:hAnsi="仿宋_GB2312" w:cs="仿宋_GB2312" w:eastAsia="仿宋_GB2312"/>
        </w:rPr>
        <w:t>详见附件：项目进度计划方案.docx</w:t>
      </w:r>
    </w:p>
    <w:p>
      <w:pPr>
        <w:pStyle w:val="null3"/>
        <w:ind w:firstLine="960"/>
      </w:pPr>
      <w:r>
        <w:rPr>
          <w:rFonts w:ascii="仿宋_GB2312" w:hAnsi="仿宋_GB2312" w:cs="仿宋_GB2312" w:eastAsia="仿宋_GB2312"/>
        </w:rPr>
        <w:t>详见附件：质量安全管理保障措施.docx</w:t>
      </w:r>
    </w:p>
    <w:p>
      <w:pPr>
        <w:pStyle w:val="null3"/>
        <w:ind w:firstLine="960"/>
      </w:pPr>
      <w:r>
        <w:rPr>
          <w:rFonts w:ascii="仿宋_GB2312" w:hAnsi="仿宋_GB2312" w:cs="仿宋_GB2312" w:eastAsia="仿宋_GB2312"/>
        </w:rPr>
        <w:t>详见附件：应急处理预案.docx</w:t>
      </w:r>
    </w:p>
    <w:p>
      <w:pPr>
        <w:pStyle w:val="null3"/>
        <w:ind w:firstLine="960"/>
      </w:pPr>
      <w:r>
        <w:rPr>
          <w:rFonts w:ascii="仿宋_GB2312" w:hAnsi="仿宋_GB2312" w:cs="仿宋_GB2312" w:eastAsia="仿宋_GB2312"/>
        </w:rPr>
        <w:t>详见附件：软件应用安全.docx</w:t>
      </w:r>
    </w:p>
    <w:p>
      <w:pPr>
        <w:pStyle w:val="null3"/>
        <w:ind w:firstLine="960"/>
      </w:pPr>
      <w:r>
        <w:rPr>
          <w:rFonts w:ascii="仿宋_GB2312" w:hAnsi="仿宋_GB2312" w:cs="仿宋_GB2312" w:eastAsia="仿宋_GB2312"/>
        </w:rPr>
        <w:t>详见附件：项目运维服务方案.docx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详见附件：设备.docx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