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版本号：ZJZBSX-250909-1097620250915001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2025陕西文旅西安咸阳国际机场宣传推广项目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ZJZBSX-250909-10976</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2025陕西文旅西安咸阳国际机场宣传推广项目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ZJZBSX-250909-10976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2025陕西文旅西安咸阳国际机场宣传推广项目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文化和旅游厅将依托西安咸阳国际机场航站楼高流量资源、高度集中的目标受众、低干扰的场景环境，整合陕西丰富文化旅游资源，投放“三秦四季”文化旅游宣传广告，形成陕西文旅展示空间，打造“文旅+流量”创新型传播模式，推动区域经济与文旅产业协同发展。要求广告发布点位及方式具备“客流动线、商业场景、数字媒体”等特点，突出展示陕西文旅核心资源，讲好陕西故事，充分展示陕西文化和旅游的整体形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查要求（共7项）：（1）主体资格：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 （3）财务状况报告：提供2024年度经审计的财务报告（包含审计报告和审计报告中所涉及的财务报表和报表附注），或提供2024年度供应商完整的全套财务报表（应当包括资产负债表、利润表、现金流量表、所有者权益变动表、附注），或提供投标截止日前一年内银行出具的资信证明，或提供财政部门认可的政府采购专业担保机构出具的响应担保函，或供应商注册时间截至资格预审申请文件提交截止日不足一年的，也可提供在工商管理部门备案的公司章程（以上五种形式的资料提供任何一种即可）。 （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 （5）税收缴纳证明：提供2024年10月1日至投标文件递交截止日已缴纳的任意一个月的纳税证明或完税证明（时间以税款所属日期为准），纳税证明或完税证明上应有代收机构或税务机关的公章，依法免税的单位应提供相关证明材料（以上三种形式的资料提供任何一种即可）。 （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 （7）承诺书：提供具有履行合同所必需的设备和专业技术能力的承诺原件。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029-85262717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029-87888601-8003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联系电话：029-87888601-8003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文化和旅游厅将依托西安咸阳国际机场航站楼高流量资源、高度集中的目标受众、低干扰的场景环境，整合陕西丰富文化旅游资源，投放“三秦四季”文化旅游宣传广告，形成陕西文旅展示空间，打造“文旅+流量”创新型传播模式，推动区域经济与文旅产业协同发展。要求广告发布点位及方式具备“客流动线、商业场景、数字媒体”等特点，突出展示陕西文旅核心资源，讲好陕西故事，充分展示陕西文化和旅游的整体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4,900,000.00</w:t>
      </w:r>
    </w:p>
    <w:p>
      <w:pPr>
        <w:pStyle w:val="null3"/>
      </w:pPr>
      <w:r>
        <w:rPr>
          <w:rFonts w:ascii="仿宋_GB2312" w:hAnsi="仿宋_GB2312" w:cs="仿宋_GB2312" w:eastAsia="仿宋_GB2312"/>
        </w:rPr>
        <w:t>采购包最高限价（元）: 4,900,000.00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2025陕西文旅西安咸阳国际机场推广项目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标的名称：2025陕西文旅西安咸阳国际机场推广项目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 xml:space="preserve">       提供西安咸阳机场航站楼广告发布及全方位运营服务保障。包含：航站楼内LED屏或灯箱广告发布费广告制作及安装费，实施时不再另行追加其他任何费用。</w:t>
            </w:r>
          </w:p>
          <w:p>
            <w:pPr>
              <w:pStyle w:val="null3"/>
            </w:pPr>
            <w:r>
              <w:rPr>
                <w:rFonts w:ascii="仿宋_GB2312" w:hAnsi="仿宋_GB2312" w:cs="仿宋_GB2312" w:eastAsia="仿宋_GB2312"/>
              </w:rPr>
              <w:t>二、具体要求</w:t>
            </w:r>
          </w:p>
          <w:p>
            <w:pPr>
              <w:pStyle w:val="null3"/>
            </w:pPr>
            <w:r>
              <w:rPr>
                <w:rFonts w:ascii="仿宋_GB2312" w:hAnsi="仿宋_GB2312" w:cs="仿宋_GB2312" w:eastAsia="仿宋_GB2312"/>
              </w:rPr>
              <w:t>1、广告点位要求</w:t>
            </w:r>
          </w:p>
          <w:p>
            <w:pPr>
              <w:pStyle w:val="null3"/>
              <w:ind w:firstLine="400"/>
            </w:pPr>
            <w:r>
              <w:rPr>
                <w:rFonts w:ascii="仿宋_GB2312" w:hAnsi="仿宋_GB2312" w:cs="仿宋_GB2312" w:eastAsia="仿宋_GB2312"/>
              </w:rPr>
              <w:t>出发广告点位：应位于旅客出发流程中值机厅或候机厅核心区域的优质宣传点位，用于陕西文旅广告投放。</w:t>
            </w:r>
          </w:p>
          <w:p>
            <w:pPr>
              <w:pStyle w:val="null3"/>
              <w:ind w:firstLine="400"/>
            </w:pPr>
            <w:r>
              <w:rPr>
                <w:rFonts w:ascii="仿宋_GB2312" w:hAnsi="仿宋_GB2312" w:cs="仿宋_GB2312" w:eastAsia="仿宋_GB2312"/>
              </w:rPr>
              <w:t>到达广告点位：应位于旅客到达流程中到达通道或到达出口核心区域的优质宣传点位，用于陕西文旅广告投放。</w:t>
            </w:r>
          </w:p>
          <w:p>
            <w:pPr>
              <w:pStyle w:val="null3"/>
            </w:pPr>
            <w:r>
              <w:rPr>
                <w:rFonts w:ascii="仿宋_GB2312" w:hAnsi="仿宋_GB2312" w:cs="仿宋_GB2312" w:eastAsia="仿宋_GB2312"/>
              </w:rPr>
              <w:t>2、广告制作要求</w:t>
            </w:r>
          </w:p>
          <w:p>
            <w:pPr>
              <w:pStyle w:val="null3"/>
              <w:ind w:firstLine="400"/>
            </w:pPr>
            <w:r>
              <w:rPr>
                <w:rFonts w:ascii="仿宋_GB2312" w:hAnsi="仿宋_GB2312" w:cs="仿宋_GB2312" w:eastAsia="仿宋_GB2312"/>
              </w:rPr>
              <w:t>以“三秦四季”为主题，彰显陕西是中华民族和华夏文明的重要发祥地之一,承载着黄帝陵、兵马俑、延安宝塔、秦岭、华山等众多中华文明、中国革命、中华地理的精神标识和自然标识。</w:t>
            </w:r>
          </w:p>
          <w:p>
            <w:pPr>
              <w:pStyle w:val="null3"/>
              <w:ind w:firstLine="400"/>
            </w:pPr>
            <w:r>
              <w:rPr>
                <w:rFonts w:ascii="仿宋_GB2312" w:hAnsi="仿宋_GB2312" w:cs="仿宋_GB2312" w:eastAsia="仿宋_GB2312"/>
              </w:rPr>
              <w:t>LED显示屏广告：具有原创性，画面兼具美感与传播性，符合时代审美。色调、配乐、文案体现陕西特色。分辨率不低于1920*1080。需确保无版权纠纷。</w:t>
            </w:r>
          </w:p>
          <w:p>
            <w:pPr>
              <w:pStyle w:val="null3"/>
              <w:ind w:firstLine="400"/>
            </w:pPr>
            <w:r>
              <w:rPr>
                <w:rFonts w:ascii="仿宋_GB2312" w:hAnsi="仿宋_GB2312" w:cs="仿宋_GB2312" w:eastAsia="仿宋_GB2312"/>
              </w:rPr>
              <w:t>灯箱广告：画面简洁，要素突出，清晰度与色彩鲜艳度较高，具有视觉冲击力。需确保无版权纠纷。</w:t>
            </w:r>
          </w:p>
          <w:p>
            <w:pPr>
              <w:pStyle w:val="null3"/>
            </w:pPr>
            <w:r>
              <w:rPr>
                <w:rFonts w:ascii="仿宋_GB2312" w:hAnsi="仿宋_GB2312" w:cs="仿宋_GB2312" w:eastAsia="仿宋_GB2312"/>
              </w:rPr>
              <w:t>3、广告更换要求</w:t>
            </w:r>
          </w:p>
          <w:p>
            <w:pPr>
              <w:pStyle w:val="null3"/>
              <w:ind w:firstLine="400"/>
            </w:pPr>
            <w:r>
              <w:rPr>
                <w:rFonts w:ascii="仿宋_GB2312" w:hAnsi="仿宋_GB2312" w:cs="仿宋_GB2312" w:eastAsia="仿宋_GB2312"/>
              </w:rPr>
              <w:t>在广告投放周期内，要制作并安装不少于四版广告内容（一年四季更换），另需要配合省文旅厅大型文旅活动增加广告内容不少于四版（博览会、艺术节等全国全省重要活动）。</w:t>
            </w:r>
          </w:p>
          <w:p>
            <w:pPr>
              <w:pStyle w:val="null3"/>
            </w:pPr>
            <w:r>
              <w:rPr>
                <w:rFonts w:ascii="仿宋_GB2312" w:hAnsi="仿宋_GB2312" w:cs="仿宋_GB2312" w:eastAsia="仿宋_GB2312"/>
              </w:rPr>
              <w:t>4、广告设施维护</w:t>
            </w:r>
          </w:p>
          <w:p>
            <w:pPr>
              <w:pStyle w:val="null3"/>
            </w:pPr>
            <w:r>
              <w:rPr>
                <w:rFonts w:ascii="仿宋_GB2312" w:hAnsi="仿宋_GB2312" w:cs="仿宋_GB2312" w:eastAsia="仿宋_GB2312"/>
              </w:rPr>
              <w:t xml:space="preserve">         在广告投放周期内，要做好设施的维护，包括日常清洁与外观检查、定期的功能性检查、专业深度维度维护与故障处理。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符合招标文件及合同条款要求。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投放周期一年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广告投放6个月内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广告投放第10至12月内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服务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8014；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资格审查要求（共7项）</w:t>
            </w:r>
          </w:p>
        </w:tc>
        <w:tc>
          <w:tcPr>
            <w:tcW w:type="dxa" w:w="3322"/>
          </w:tcPr>
          <w:p>
            <w:pPr>
              <w:pStyle w:val="null3"/>
            </w:pPr>
            <w:r>
              <w:rPr>
                <w:rFonts w:ascii="仿宋_GB2312" w:hAnsi="仿宋_GB2312" w:cs="仿宋_GB2312" w:eastAsia="仿宋_GB2312"/>
              </w:rPr>
              <w:t>（1）主体资格：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 （3）财务状况报告：提供2024年度经审计的财务报告（包含审计报告和审计报告中所涉及的财务报表和报表附注），或提供2024年度供应商完整的全套财务报表（应当包括资产负债表、利润表、现金流量表、所有者权益变动表、附注），或提供投标截止日前一年内银行出具的资信证明，或提供财政部门认可的政府采购专业担保机构出具的响应担保函，或供应商注册时间截至资格预审申请文件提交截止日不足一年的，也可提供在工商管理部门备案的公司章程（以上五种形式的资料提供任何一种即可）。 （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 （5）税收缴纳证明：提供2024年10月1日至投标文件递交截止日已缴纳的任意一个月的纳税证明或完税证明（时间以税款所属日期为准），纳税证明或完税证明上应有代收机构或税务机关的公章，依法免税的单位应提供相关证明材料（以上三种形式的资料提供任何一种即可）。 （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 （7）承诺书：提供具有履行合同所必需的设备和专业技术能力的承诺原件。</w:t>
            </w:r>
          </w:p>
        </w:tc>
        <w:tc>
          <w:tcPr>
            <w:tcW w:type="dxa" w:w="1661"/>
          </w:tcPr>
          <w:p>
            <w:pPr>
              <w:pStyle w:val="null3"/>
            </w:pPr>
            <w:r>
              <w:rPr>
                <w:rFonts w:ascii="仿宋_GB2312" w:hAnsi="仿宋_GB2312" w:cs="仿宋_GB2312" w:eastAsia="仿宋_GB2312"/>
              </w:rPr>
              <w:t>1.资格证明资料.docx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投标有效期是否满足招标文件最低要求90天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开标一览表 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投放周期、付款方式</w:t>
            </w:r>
          </w:p>
        </w:tc>
        <w:tc>
          <w:tcPr>
            <w:tcW w:type="dxa" w:w="3322"/>
          </w:tcPr>
          <w:p>
            <w:pPr>
              <w:pStyle w:val="null3"/>
            </w:pPr>
            <w:r>
              <w:rPr>
                <w:rFonts w:ascii="仿宋_GB2312" w:hAnsi="仿宋_GB2312" w:cs="仿宋_GB2312" w:eastAsia="仿宋_GB2312"/>
              </w:rPr>
              <w:t>投放周期、付款方式是否响应招标文件要求</w:t>
            </w:r>
          </w:p>
        </w:tc>
        <w:tc>
          <w:tcPr>
            <w:tcW w:type="dxa" w:w="1661"/>
          </w:tcPr>
          <w:p>
            <w:pPr>
              <w:pStyle w:val="null3"/>
            </w:pPr>
            <w:r>
              <w:rPr>
                <w:rFonts w:ascii="仿宋_GB2312" w:hAnsi="仿宋_GB2312" w:cs="仿宋_GB2312" w:eastAsia="仿宋_GB2312"/>
              </w:rPr>
              <w:t>5.商务应答表.docx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广告点位使用授权</w:t>
            </w:r>
          </w:p>
        </w:tc>
        <w:tc>
          <w:tcPr>
            <w:tcW w:type="dxa" w:w="2492"/>
          </w:tcPr>
          <w:p>
            <w:pPr>
              <w:pStyle w:val="null3"/>
            </w:pPr>
            <w:r>
              <w:rPr>
                <w:rFonts w:ascii="仿宋_GB2312" w:hAnsi="仿宋_GB2312" w:cs="仿宋_GB2312" w:eastAsia="仿宋_GB2312"/>
              </w:rPr>
              <w:t>1、投标人提供拥有西安咸阳国际机场T5航站楼出发值机厅或候机厅广告点位的使用授权等相关证明资料，资料齐全，能满足项目宣传需求得4分；提供拥有西安咸阳国际机场T5航站楼到达通道或到达出口核心区域宣传点位的使用授权等相关证明资料，资料齐全，能满足项目宣传需求得4分。未提供或提供资料无法满足项目宣传需求的不得分。 2、投标人提供拥有西安咸阳国际机场T1或T2或T3任意一航站楼出发值机厅或候机厅广告点位的使用授权等相关证明资料，资料齐全，能满足项目宣传需求得2分；提供拥有西安咸阳国际机场T1或T2或T3任意一航站楼到达通道或到达出口核心区域宣传点位的使用授权等相关证明资料，资料齐全，能满足项目宣传需求得2分。未提供或提供资料无法满足项目宣传需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4.服务内容响应表.docx</w:t>
            </w:r>
          </w:p>
          <w:p>
            <w:pPr>
              <w:pStyle w:val="null3"/>
            </w:pPr>
            <w:r>
              <w:rPr>
                <w:rFonts w:ascii="仿宋_GB2312" w:hAnsi="仿宋_GB2312" w:cs="仿宋_GB2312" w:eastAsia="仿宋_GB2312"/>
              </w:rPr>
              <w:t>1.广告点位使用授权.docx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根据项目服务内容及宣传要求提供项目需求分析，需求分析贴合项目概况、逻辑清晰、体现项目宣传主题，根据对评审依据的响应程度计0.1-5分。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2.项目需求分析.docx</w:t>
            </w:r>
          </w:p>
        </w:tc>
      </w:tr>
      <w:tr>
        <w:tc>
          <w:tcPr>
            <w:tcW w:type="dxa" w:w="831"/>
            <w:vMerge/>
          </w:tcPr>
          <w:p/>
        </w:tc>
        <w:tc>
          <w:tcPr>
            <w:tcW w:type="dxa" w:w="1661"/>
          </w:tcPr>
          <w:p>
            <w:pPr>
              <w:pStyle w:val="null3"/>
            </w:pPr>
            <w:r>
              <w:rPr>
                <w:rFonts w:ascii="仿宋_GB2312" w:hAnsi="仿宋_GB2312" w:cs="仿宋_GB2312" w:eastAsia="仿宋_GB2312"/>
              </w:rPr>
              <w:t>广告设计、制作方案</w:t>
            </w:r>
          </w:p>
        </w:tc>
        <w:tc>
          <w:tcPr>
            <w:tcW w:type="dxa" w:w="2492"/>
          </w:tcPr>
          <w:p>
            <w:pPr>
              <w:pStyle w:val="null3"/>
            </w:pPr>
            <w:r>
              <w:rPr>
                <w:rFonts w:ascii="仿宋_GB2312" w:hAnsi="仿宋_GB2312" w:cs="仿宋_GB2312" w:eastAsia="仿宋_GB2312"/>
              </w:rPr>
              <w:t>供应商根据本项目服务内容要求，提供项目广告设计、制作方案，包含但不限于：1.西安机场LED显示屏陕西文旅宣传广告制作方案；2.西安机场灯箱陕西文旅宣传广告制作方案。 评审依据： 1.与主题的配备度； 2.广告创意的表现力，如：吸引力、独特性、逻辑性； 3.制作质量高低，如：视觉呈现、音频表现、细节合规； 以上2项方案要求，根据对每项评审依据的响应程度计0.1-3分，每项方案满分9分，共18分，未提供不计分。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3.广告设计、制作方案.docx</w:t>
            </w:r>
          </w:p>
          <w:p>
            <w:pPr>
              <w:pStyle w:val="null3"/>
            </w:pPr>
            <w:r>
              <w:rPr>
                <w:rFonts w:ascii="仿宋_GB2312" w:hAnsi="仿宋_GB2312" w:cs="仿宋_GB2312" w:eastAsia="仿宋_GB2312"/>
              </w:rPr>
              <w:t>4.服务内容响应表.docx</w:t>
            </w:r>
          </w:p>
        </w:tc>
      </w:tr>
      <w:tr>
        <w:tc>
          <w:tcPr>
            <w:tcW w:type="dxa" w:w="831"/>
            <w:vMerge/>
          </w:tcPr>
          <w:p/>
        </w:tc>
        <w:tc>
          <w:tcPr>
            <w:tcW w:type="dxa" w:w="1661"/>
          </w:tcPr>
          <w:p>
            <w:pPr>
              <w:pStyle w:val="null3"/>
            </w:pPr>
            <w:r>
              <w:rPr>
                <w:rFonts w:ascii="仿宋_GB2312" w:hAnsi="仿宋_GB2312" w:cs="仿宋_GB2312" w:eastAsia="仿宋_GB2312"/>
              </w:rPr>
              <w:t>宣传实施方案</w:t>
            </w:r>
          </w:p>
        </w:tc>
        <w:tc>
          <w:tcPr>
            <w:tcW w:type="dxa" w:w="2492"/>
          </w:tcPr>
          <w:p>
            <w:pPr>
              <w:pStyle w:val="null3"/>
            </w:pPr>
            <w:r>
              <w:rPr>
                <w:rFonts w:ascii="仿宋_GB2312" w:hAnsi="仿宋_GB2312" w:cs="仿宋_GB2312" w:eastAsia="仿宋_GB2312"/>
              </w:rPr>
              <w:t>供应商结合自身实力和经验提供针对本项目宣传策划方案及实施方案，方案至少包含1.广告发布方案；2.广告实施方案；3.广告轮换方案等。 以上3项方案，其中每有一项方案满足要求的得6分，该项内容中每有一处存在不足的扣1.5分，最多扣6分；每有一项内容不满足要求的不得分；本项最多得18分。 注：(1)以上内容满足要求是指①内容与项目服务需求吻合，有具体详细的阐述；②阐述从实际出发，切合项目背景、项目需求以及市场供应情况提出专业化技术建议或者解决方案；③内容符合国家、地方、行业标准、行业惯例以及项目特点。④内容清楚明了、表述规范、含义准确。(2)存在不足是指①存在与本项目无关的其他行业、其他区域地点或无关的文字内容；②内容与本项目需求无关、方案内容冲突、仅有框架或标题；③不符合本项目涉及的相关规范或标准要求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4.宣传实施方案.docx</w:t>
            </w:r>
          </w:p>
        </w:tc>
      </w:tr>
      <w:tr>
        <w:tc>
          <w:tcPr>
            <w:tcW w:type="dxa" w:w="831"/>
            <w:vMerge/>
          </w:tcPr>
          <w:p/>
        </w:tc>
        <w:tc>
          <w:tcPr>
            <w:tcW w:type="dxa" w:w="1661"/>
          </w:tcPr>
          <w:p>
            <w:pPr>
              <w:pStyle w:val="null3"/>
            </w:pPr>
            <w:r>
              <w:rPr>
                <w:rFonts w:ascii="仿宋_GB2312" w:hAnsi="仿宋_GB2312" w:cs="仿宋_GB2312" w:eastAsia="仿宋_GB2312"/>
              </w:rPr>
              <w:t>广告设施维护方案</w:t>
            </w:r>
          </w:p>
        </w:tc>
        <w:tc>
          <w:tcPr>
            <w:tcW w:type="dxa" w:w="2492"/>
          </w:tcPr>
          <w:p>
            <w:pPr>
              <w:pStyle w:val="null3"/>
            </w:pPr>
            <w:r>
              <w:rPr>
                <w:rFonts w:ascii="仿宋_GB2312" w:hAnsi="仿宋_GB2312" w:cs="仿宋_GB2312" w:eastAsia="仿宋_GB2312"/>
              </w:rPr>
              <w:t>供应商根据本项目服务内容要求，提供广告设施维护方案，至少包含：1.维护频次；2.维护内容；3.维护人员安排；4.维护记录。 根据投标人针对上述4个方面内容在投标文件中的响应情况进行综合评审：其中每有一方面内容满足要求的得3分，该方面中每有一处存在不足的扣1分，最多扣3分；每有一方面内容缺项或不满足要求的该方面内容不得分；本项最多得12分。 注：(1)以上内容满足要求是指①内容与项目服务需求吻合，有具体详细的阐述；②阐述从实际出发，切合项目背景、项目需求以及市场供应情况提出专业化技术建议或者解决方案；③内容符合国家、地方、行业标准、行业惯例以及项目特点。④内容清楚明了、表述规范、含义准确。(2)存在不足是指①存在与本项目无关的其他行业、其他区域地点或无关的文字内容；②内容与本项目需求无关、方案内容冲突、仅有框架或标题；③不符合本项目涉及的相关规范或标准要求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5.广告设施维护方案.docx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按照项目宣传需求配备项目团队人员，成员至少包含以下几类技术人员：创意策划人员、视觉设计人员、文案人员、视频制作人员、合规审核人员，完全满足得5分，每缺少一类扣1分。项目组成员具有以上5类相关专业证书的，每有1份证书计1分，最高计3分。本项满分8分。 2.项目负责人具有5年以上户外广告宣传负责经验的得5分，5年以下的每少一年扣1分，扣完为止。（参与的项目服务合同为评审依据） 3.项目组成员每有1位具有3年以上户外广告宣传负责经验的得1分，最高得5分。（参与的项目服务合同为评审依据）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6.项目团队.docx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根据户外广告运营服务规律和可能发生的紧急事件，提出对突发事件的应急预案。包含：1.快速响应时间；2.调动人员的数量；3.合理的处理方案。 根据投标人针对上述3个方面内容在投标文件中的响应情况进行综合评审：其中每有一方面内容满足要求的得2分，该方面中每有一处存在不足的扣0.5分，最多扣2分；每有一方面内容缺项或不满足要求的该方面内容不得分；本项最多得6分。 注：(1)以上内容满足要求是指①内容与项目服务需求吻合，有具体详细的阐述；②阐述从实际出发，切合项目背景、项目需求以及市场供应情况提出专业化技术建议或者解决方案；③内容符合国家、地方、行业标准、行业惯例以及项目特点。④内容清楚明了、表述规范、含义准确。(2)存在不足是指①存在与本项目无关的其他行业、其他区域地点或无关的文字内容；②内容与本项目需求无关、方案内容冲突、仅有框架或标题；③不符合本项目涉及的相关规范或标准要求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投标截止时间前（以合同签订时间为准，如没有签订时间以合同履行时间为准）类似案例合同（仅限于供应商自己实施的合同，供应商和同一个甲方签的同一个项目的原始合同和续签的合同按同一项目合同计算），每提供一个类似完整合同复印件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详见附件：1.广告点位使用授权.docx</w:t>
      </w:r>
    </w:p>
    <w:p>
      <w:pPr>
        <w:pStyle w:val="null3"/>
        <w:ind w:firstLine="960"/>
      </w:pPr>
      <w:r>
        <w:rPr>
          <w:rFonts w:ascii="仿宋_GB2312" w:hAnsi="仿宋_GB2312" w:cs="仿宋_GB2312" w:eastAsia="仿宋_GB2312"/>
        </w:rPr>
        <w:t>详见附件：2.项目需求分析.docx</w:t>
      </w:r>
    </w:p>
    <w:p>
      <w:pPr>
        <w:pStyle w:val="null3"/>
        <w:ind w:firstLine="960"/>
      </w:pPr>
      <w:r>
        <w:rPr>
          <w:rFonts w:ascii="仿宋_GB2312" w:hAnsi="仿宋_GB2312" w:cs="仿宋_GB2312" w:eastAsia="仿宋_GB2312"/>
        </w:rPr>
        <w:t>详见附件：3.广告设计、制作方案.docx</w:t>
      </w:r>
    </w:p>
    <w:p>
      <w:pPr>
        <w:pStyle w:val="null3"/>
        <w:ind w:firstLine="960"/>
      </w:pPr>
      <w:r>
        <w:rPr>
          <w:rFonts w:ascii="仿宋_GB2312" w:hAnsi="仿宋_GB2312" w:cs="仿宋_GB2312" w:eastAsia="仿宋_GB2312"/>
        </w:rPr>
        <w:t>详见附件：4.宣传实施方案.docx</w:t>
      </w:r>
    </w:p>
    <w:p>
      <w:pPr>
        <w:pStyle w:val="null3"/>
        <w:ind w:firstLine="960"/>
      </w:pPr>
      <w:r>
        <w:rPr>
          <w:rFonts w:ascii="仿宋_GB2312" w:hAnsi="仿宋_GB2312" w:cs="仿宋_GB2312" w:eastAsia="仿宋_GB2312"/>
        </w:rPr>
        <w:t>详见附件：5.广告设施维护方案.docx</w:t>
      </w:r>
    </w:p>
    <w:p>
      <w:pPr>
        <w:pStyle w:val="null3"/>
        <w:ind w:firstLine="960"/>
      </w:pPr>
      <w:r>
        <w:rPr>
          <w:rFonts w:ascii="仿宋_GB2312" w:hAnsi="仿宋_GB2312" w:cs="仿宋_GB2312" w:eastAsia="仿宋_GB2312"/>
        </w:rPr>
        <w:t>详见附件：6.项目团队.docx</w:t>
      </w:r>
    </w:p>
    <w:p>
      <w:pPr>
        <w:pStyle w:val="null3"/>
        <w:ind w:firstLine="960"/>
      </w:pPr>
      <w:r>
        <w:rPr>
          <w:rFonts w:ascii="仿宋_GB2312" w:hAnsi="仿宋_GB2312" w:cs="仿宋_GB2312" w:eastAsia="仿宋_GB2312"/>
        </w:rPr>
        <w:t>详见附件：7.应急预案.docx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