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版本号：HHGJZC2025-CS323.20250918001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对无损检测机构进行能力比对验收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HHGJZC2025-CS323.</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对无损检测机构进行能力比对验收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HHGJZC2025-CS323.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对无损检测机构进行能力比对验收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对无损检测机构进行能力比对验收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3、人员资质：供应商拟派检查人员须具有特种设备无损检测二级及以上证件或无损检测鉴定评审人员证。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定额收取人民币陆仟元整（¥6000.00） 成交供应商在领取成交通知书前，须向采购代理机构一次性支付招标代理服务费。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对全省无损检测机构机构资源条件进行核查，重点审查其检验机构的相应资质、人员配备情况，以及检验设备的配置是否合规。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对无损检测机构进行能力比对验收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标的名称：对无损检测机构进行能力比对验收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一、采购内容及技术要求</w:t>
            </w:r>
            <w:r>
              <w:rPr>
                <w:rFonts w:ascii="仿宋_GB2312" w:hAnsi="仿宋_GB2312" w:cs="仿宋_GB2312" w:eastAsia="仿宋_GB2312"/>
                <w:sz w:val="21"/>
                <w:b/>
              </w:rPr>
              <w:t>：</w:t>
            </w:r>
          </w:p>
          <w:p>
            <w:pPr>
              <w:pStyle w:val="null3"/>
              <w:ind w:firstLine="420"/>
            </w:pPr>
            <w:r>
              <w:rPr>
                <w:rFonts w:ascii="仿宋_GB2312" w:hAnsi="仿宋_GB2312" w:cs="仿宋_GB2312" w:eastAsia="仿宋_GB2312"/>
                <w:sz w:val="21"/>
                <w:shd w:fill="FFFFFF" w:val="clear"/>
              </w:rPr>
              <w:t>对全省无损检测机构机构资源条件进行核查，重点审查其检验机构的相应资质、人员配备情况，以及检验设备的配置是否合规。</w:t>
            </w:r>
          </w:p>
          <w:p>
            <w:pPr>
              <w:pStyle w:val="null3"/>
              <w:ind w:firstLine="421"/>
            </w:pPr>
            <w:r>
              <w:rPr>
                <w:rFonts w:ascii="仿宋_GB2312" w:hAnsi="仿宋_GB2312" w:cs="仿宋_GB2312" w:eastAsia="仿宋_GB2312"/>
                <w:sz w:val="21"/>
                <w:b/>
                <w:shd w:fill="FFFFFF" w:val="clear"/>
              </w:rPr>
              <w:t>核查内容：</w:t>
            </w:r>
          </w:p>
          <w:p>
            <w:pPr>
              <w:pStyle w:val="null3"/>
              <w:ind w:firstLine="420"/>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机构资质：核准证有效期；</w:t>
            </w:r>
          </w:p>
          <w:p>
            <w:pPr>
              <w:pStyle w:val="null3"/>
              <w:ind w:firstLine="420"/>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执业人员：关键岗位人员任职条件、持证人员数量、持证人员办理执业是否满足要求；</w:t>
            </w:r>
          </w:p>
          <w:p>
            <w:pPr>
              <w:pStyle w:val="null3"/>
              <w:ind w:firstLine="420"/>
            </w:pPr>
            <w:r>
              <w:rPr>
                <w:rFonts w:ascii="仿宋_GB2312" w:hAnsi="仿宋_GB2312" w:cs="仿宋_GB2312" w:eastAsia="仿宋_GB2312"/>
                <w:sz w:val="21"/>
                <w:shd w:fill="FFFFFF" w:val="clear"/>
              </w:rPr>
              <w:t>3、</w:t>
            </w:r>
            <w:r>
              <w:rPr>
                <w:rFonts w:ascii="仿宋_GB2312" w:hAnsi="仿宋_GB2312" w:cs="仿宋_GB2312" w:eastAsia="仿宋_GB2312"/>
                <w:sz w:val="21"/>
                <w:color w:val="000000"/>
                <w:shd w:fill="FFFFFF" w:val="clear"/>
              </w:rPr>
              <w:t>场地与设施</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无损检测试验场地和固定办公场所建筑面积不少于</w:t>
            </w:r>
            <w:r>
              <w:rPr>
                <w:rFonts w:ascii="仿宋_GB2312" w:hAnsi="仿宋_GB2312" w:cs="仿宋_GB2312" w:eastAsia="仿宋_GB2312"/>
                <w:sz w:val="21"/>
                <w:color w:val="000000"/>
                <w:shd w:fill="FFFFFF" w:val="clear"/>
              </w:rPr>
              <w:t>300㎡</w:t>
            </w:r>
            <w:r>
              <w:rPr>
                <w:rFonts w:ascii="仿宋_GB2312" w:hAnsi="仿宋_GB2312" w:cs="仿宋_GB2312" w:eastAsia="仿宋_GB2312"/>
                <w:sz w:val="21"/>
                <w:color w:val="000000"/>
                <w:shd w:fill="FFFFFF" w:val="clear"/>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二、设备检查清单</w:t>
            </w:r>
          </w:p>
          <w:tbl>
            <w:tblPr>
              <w:tblBorders>
                <w:top w:val="none" w:color="000000" w:sz="4"/>
                <w:left w:val="none" w:color="000000" w:sz="4"/>
                <w:bottom w:val="none" w:color="000000" w:sz="4"/>
                <w:right w:val="none" w:color="000000" w:sz="4"/>
                <w:insideH w:val="none"/>
                <w:insideV w:val="none"/>
              </w:tblBorders>
            </w:tblPr>
            <w:tblGrid>
              <w:gridCol w:w="166"/>
              <w:gridCol w:w="168"/>
              <w:gridCol w:w="406"/>
              <w:gridCol w:w="1814"/>
            </w:tblGrid>
            <w:tr>
              <w:tc>
                <w:tcPr>
                  <w:tcW w:type="dxa" w:w="166"/>
                  <w:vMerge w:val="restart"/>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序号</w:t>
                  </w:r>
                </w:p>
              </w:tc>
              <w:tc>
                <w:tcPr>
                  <w:tcW w:type="dxa" w:w="168"/>
                  <w:vMerge w:val="restart"/>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检查项目</w:t>
                  </w:r>
                </w:p>
              </w:tc>
              <w:tc>
                <w:tcPr>
                  <w:tcW w:type="dxa" w:w="2220"/>
                  <w:gridSpan w:val="2"/>
                  <w:vMerge w:val="restart"/>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检查内容</w:t>
                  </w:r>
                </w:p>
              </w:tc>
            </w:tr>
            <w:tr>
              <w:tc>
                <w:tcPr>
                  <w:tcW w:type="dxa" w:w="166"/>
                  <w:vMerge/>
                  <w:tcBorders>
                    <w:top w:val="single" w:color="000000" w:sz="8"/>
                    <w:left w:val="single" w:color="000000" w:sz="8"/>
                    <w:bottom w:val="single" w:color="000000" w:sz="4"/>
                    <w:right w:val="single" w:color="000000" w:sz="4"/>
                  </w:tcBorders>
                </w:tcPr>
                <w:p/>
              </w:tc>
              <w:tc>
                <w:tcPr>
                  <w:tcW w:type="dxa" w:w="168"/>
                  <w:vMerge/>
                  <w:tcBorders>
                    <w:top w:val="single" w:color="000000" w:sz="8"/>
                    <w:left w:val="single" w:color="000000" w:sz="4"/>
                    <w:bottom w:val="single" w:color="000000" w:sz="4"/>
                    <w:right w:val="single" w:color="000000" w:sz="4"/>
                  </w:tcBorders>
                </w:tcP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1</w:t>
                  </w:r>
                </w:p>
              </w:tc>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设备配置</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常规检测（</w:t>
                  </w:r>
                  <w:r>
                    <w:rPr>
                      <w:rFonts w:ascii="仿宋_GB2312" w:hAnsi="仿宋_GB2312" w:cs="仿宋_GB2312" w:eastAsia="仿宋_GB2312"/>
                      <w:sz w:val="20"/>
                      <w:color w:val="000000"/>
                      <w:shd w:fill="FFFFFF" w:val="clear"/>
                    </w:rPr>
                    <w:t>CG）</w:t>
                  </w:r>
                </w:p>
                <w:p>
                  <w:pPr>
                    <w:pStyle w:val="null3"/>
                    <w:jc w:val="center"/>
                  </w:pPr>
                  <w:r>
                    <w:rPr>
                      <w:rFonts w:ascii="仿宋_GB2312" w:hAnsi="仿宋_GB2312" w:cs="仿宋_GB2312" w:eastAsia="仿宋_GB2312"/>
                      <w:sz w:val="20"/>
                      <w:color w:val="000000"/>
                      <w:shd w:fill="FFFFFF" w:val="clear"/>
                    </w:rPr>
                    <w:t>□无此项</w:t>
                  </w:r>
                </w:p>
              </w:tc>
              <w:tc>
                <w:tcPr>
                  <w:tcW w:type="dxa" w:w="1814"/>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1）射线检测装置8台，其中管电压大于或者等于300kV的X射线检测装置（或者γ射线机）至少2台</w:t>
                  </w:r>
                  <w:r>
                    <w:rPr>
                      <w:rFonts w:ascii="仿宋_GB2312" w:hAnsi="仿宋_GB2312" w:cs="仿宋_GB2312" w:eastAsia="仿宋_GB2312"/>
                      <w:sz w:val="20"/>
                      <w:color w:val="000000"/>
                      <w:shd w:fill="FFFFFF" w:val="clear"/>
                    </w:rPr>
                    <w:t>；</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2）射线报警仪6台；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3）黑度计（含标准密度片）1台；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4）暗室设施和胶片冲洗装置各1台（套）；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5</w:t>
                  </w:r>
                </w:p>
              </w:tc>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5）观片灯4台，并且满足NB／T 47013.2的规定；</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6</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singl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6）曝光曲线制作阶梯试块1套；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7</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singl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7）数字式超声探伤仪5台；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8</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singl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8）数字式测厚仪1台；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9</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singl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9）NB／T 47013.3规定的标准试块和对比试块各1套，至少包括钢焊接接头用试块（包括CSK-IA、CSK-IIA-1、CSK-IA-2）、钢管环向对接接头用试块（包括GS-1、GS-2、GS-3、GS-4）和钢板用试块（包括阶梯平底试块、1～3号对比试块）；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10</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singl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10）磁粉检测仪5台（其中至少1台适用于棒状和管状部件的检测）；</w:t>
                  </w:r>
                </w:p>
              </w:tc>
            </w:tr>
            <w:tr>
              <w:tc>
                <w:tcPr>
                  <w:tcW w:type="dxa" w:w="166"/>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11</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singl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11）黑光灯1台；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12</w:t>
                  </w:r>
                </w:p>
              </w:tc>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设备配置</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涡流检测（</w:t>
                  </w:r>
                  <w:r>
                    <w:rPr>
                      <w:rFonts w:ascii="仿宋_GB2312" w:hAnsi="仿宋_GB2312" w:cs="仿宋_GB2312" w:eastAsia="仿宋_GB2312"/>
                      <w:sz w:val="20"/>
                      <w:color w:val="000000"/>
                      <w:shd w:fill="FFFFFF" w:val="clear"/>
                    </w:rPr>
                    <w:t>ECT</w:t>
                  </w:r>
                  <w:r>
                    <w:rPr>
                      <w:rFonts w:ascii="仿宋_GB2312" w:hAnsi="仿宋_GB2312" w:cs="仿宋_GB2312" w:eastAsia="仿宋_GB2312"/>
                      <w:sz w:val="20"/>
                      <w:color w:val="000000"/>
                      <w:shd w:fill="FFFFFF" w:val="clear"/>
                    </w:rPr>
                    <w:t>）</w:t>
                  </w:r>
                </w:p>
                <w:p>
                  <w:pPr>
                    <w:pStyle w:val="null3"/>
                    <w:jc w:val="center"/>
                  </w:pPr>
                  <w:r>
                    <w:rPr>
                      <w:rFonts w:ascii="仿宋_GB2312" w:hAnsi="仿宋_GB2312" w:cs="仿宋_GB2312" w:eastAsia="仿宋_GB2312"/>
                      <w:sz w:val="20"/>
                      <w:color w:val="000000"/>
                      <w:shd w:fill="FFFFFF" w:val="clear"/>
                    </w:rPr>
                    <w:t>□无此项</w:t>
                  </w: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1）多频涡流检测仪2台；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13</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2）黑光灯1台；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19</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3）光照度计和黑光辐照度计各1台；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20</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4）NB／T 47013.6规定的灵敏度调试标准试样或者对比试样1套；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21</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5）NB／T 47013.5规定的A型对比试块和B型试块各2块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22</w:t>
                  </w:r>
                </w:p>
              </w:tc>
              <w:tc>
                <w:tcPr>
                  <w:tcW w:type="dxa" w:w="168"/>
                  <w:vMerge/>
                  <w:tcBorders>
                    <w:top w:val="none" w:color="000000" w:sz="4"/>
                    <w:left w:val="single" w:color="000000" w:sz="4"/>
                    <w:bottom w:val="single" w:color="000000" w:sz="4"/>
                    <w:right w:val="single" w:color="000000" w:sz="4"/>
                  </w:tcBorders>
                </w:tcPr>
                <w:p/>
              </w:tc>
              <w:tc>
                <w:tcPr>
                  <w:tcW w:type="dxa" w:w="4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声发射检测（</w:t>
                  </w:r>
                  <w:r>
                    <w:rPr>
                      <w:rFonts w:ascii="仿宋_GB2312" w:hAnsi="仿宋_GB2312" w:cs="仿宋_GB2312" w:eastAsia="仿宋_GB2312"/>
                      <w:sz w:val="20"/>
                      <w:color w:val="000000"/>
                      <w:shd w:fill="FFFFFF" w:val="clear"/>
                    </w:rPr>
                    <w:t>AE）</w:t>
                  </w:r>
                </w:p>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无此项</w:t>
                  </w: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1）声发射检测仪1台（通道数≥16）；</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23</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singl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2）NB／T47013.9规定模拟源1套；</w:t>
                  </w:r>
                </w:p>
              </w:tc>
            </w:tr>
            <w:tr>
              <w:tc>
                <w:tcPr>
                  <w:tcW w:type="dxa" w:w="166"/>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24</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singl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3）数字式超声探伤仪1台；NB／T 47013.3规定的标准试块和对比试块各1套，至少包括钢焊接接头用试块（包括CSK-IA、CSK-IIA-1、CSK-II A-2）和钢板用试块（包括阶梯平底试块、1～3号对比试块）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25</w:t>
                  </w:r>
                </w:p>
              </w:tc>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设备配置</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衍射时差法超声检测（</w:t>
                  </w:r>
                  <w:r>
                    <w:rPr>
                      <w:rFonts w:ascii="仿宋_GB2312" w:hAnsi="仿宋_GB2312" w:cs="仿宋_GB2312" w:eastAsia="仿宋_GB2312"/>
                      <w:sz w:val="20"/>
                      <w:color w:val="000000"/>
                      <w:shd w:fill="FFFFFF" w:val="clear"/>
                    </w:rPr>
                    <w:t>TOFD）</w:t>
                  </w:r>
                </w:p>
                <w:p>
                  <w:pPr>
                    <w:pStyle w:val="null3"/>
                    <w:jc w:val="center"/>
                  </w:pPr>
                  <w:r>
                    <w:rPr>
                      <w:rFonts w:ascii="仿宋_GB2312" w:hAnsi="仿宋_GB2312" w:cs="仿宋_GB2312" w:eastAsia="仿宋_GB2312"/>
                      <w:sz w:val="20"/>
                      <w:color w:val="000000"/>
                      <w:shd w:fill="FFFFFF" w:val="clear"/>
                    </w:rPr>
                    <w:t>□无此项</w:t>
                  </w: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1）衍射时差法超声检测仪2台（通道数≥2）；</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26</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2）不同频率的TOFD探头至少3对（频率范围为2.5MHz～10MHz）；</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27</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3）带位置传感器的扫查装置以及相关附件1套；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28</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4）NB／T 47013.10规定的标准试块1套、12mm～100mm对比试块2套、12mm～100mm模拟试块1套；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9</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5）射线检测装置1台，射线报警仪1台，黑度计（含标准密度片）1台，暗室设施和胶片冲洗装置各1台（套），观片灯1台（满足NB／T 47013.2的规定），曝光曲线制作阶梯试块1套；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30</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6）数字式超声探伤仪1台；NB／T 47013.3规定的标准试块和对比试块各1套，至少包括钢焊接接头用试块（包括CSK-IA、CSK-IIA-1、CSK-IIA-2）和钢板用试块（包括阶梯平底试块、1～3号对比试块），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31</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7）磁粉检测仪1台，NB／T</w:t>
                  </w:r>
                  <w:r>
                    <w:rPr>
                      <w:rFonts w:ascii="仿宋_GB2312" w:hAnsi="仿宋_GB2312" w:cs="仿宋_GB2312" w:eastAsia="仿宋_GB2312"/>
                      <w:sz w:val="21"/>
                    </w:rPr>
                    <w:t xml:space="preserve"> </w:t>
                  </w:r>
                  <w:r>
                    <w:rPr>
                      <w:rFonts w:ascii="仿宋_GB2312" w:hAnsi="仿宋_GB2312" w:cs="仿宋_GB2312" w:eastAsia="仿宋_GB2312"/>
                      <w:sz w:val="20"/>
                      <w:color w:val="000000"/>
                      <w:shd w:fill="FFFFFF" w:val="clear"/>
                    </w:rPr>
                    <w:t>47013.4规定的标准试片（块）1套，磁粉检测仪自校装置1套（含45N、118N提升力试块各1块）；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32</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8）NB／T 47013.5规定的A型对比试块和B型试块各1块；</w:t>
                  </w:r>
                </w:p>
              </w:tc>
            </w:tr>
            <w:tr>
              <w:tc>
                <w:tcPr>
                  <w:tcW w:type="dxa" w:w="166"/>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33</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9）数字式测厚仪、黑光灯、光照度计、黑光辐照度计各1台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34</w:t>
                  </w:r>
                </w:p>
              </w:tc>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设备配置</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相控阵超声检测（</w:t>
                  </w:r>
                  <w:r>
                    <w:rPr>
                      <w:rFonts w:ascii="仿宋_GB2312" w:hAnsi="仿宋_GB2312" w:cs="仿宋_GB2312" w:eastAsia="仿宋_GB2312"/>
                      <w:sz w:val="20"/>
                      <w:color w:val="000000"/>
                      <w:shd w:fill="FFFFFF" w:val="clear"/>
                    </w:rPr>
                    <w:t>PA）</w:t>
                  </w:r>
                </w:p>
                <w:p>
                  <w:pPr>
                    <w:pStyle w:val="null3"/>
                    <w:jc w:val="center"/>
                  </w:pPr>
                  <w:r>
                    <w:rPr>
                      <w:rFonts w:ascii="仿宋_GB2312" w:hAnsi="仿宋_GB2312" w:cs="仿宋_GB2312" w:eastAsia="仿宋_GB2312"/>
                      <w:sz w:val="20"/>
                      <w:color w:val="000000"/>
                      <w:shd w:fill="FFFFFF" w:val="clear"/>
                    </w:rPr>
                    <w:t>□无此项</w:t>
                  </w: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1）相控阵超声检测仪2台，其中通道数≥32的至少1台；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35</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2）不同频率的PAUT探头4个，其中2个频率范围为2.5MHz～10MHz、阵元数≥32；</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36</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3）带位置传感器的扫查装置以及相关附件2套；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37</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4）NB／T 47013.15规定的标准试块1套、对比试块2套、模拟试块1套；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38</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5）射线检测装置1台，射线报警仪1台，黑度计（含标准密度片）1台，暗室设施和胶片冲洗装置各</w:t>
                  </w:r>
                  <w:r>
                    <w:rPr>
                      <w:rFonts w:ascii="仿宋_GB2312" w:hAnsi="仿宋_GB2312" w:cs="仿宋_GB2312" w:eastAsia="仿宋_GB2312"/>
                      <w:sz w:val="20"/>
                      <w:color w:val="000000"/>
                      <w:shd w:fill="FFFFFF" w:val="clear"/>
                    </w:rPr>
                    <w:t>1</w:t>
                  </w:r>
                  <w:r>
                    <w:rPr>
                      <w:rFonts w:ascii="仿宋_GB2312" w:hAnsi="仿宋_GB2312" w:cs="仿宋_GB2312" w:eastAsia="仿宋_GB2312"/>
                      <w:sz w:val="20"/>
                      <w:color w:val="000000"/>
                      <w:shd w:fill="FFFFFF" w:val="clear"/>
                    </w:rPr>
                    <w:t>台（套），观片灯</w:t>
                  </w:r>
                  <w:r>
                    <w:rPr>
                      <w:rFonts w:ascii="仿宋_GB2312" w:hAnsi="仿宋_GB2312" w:cs="仿宋_GB2312" w:eastAsia="仿宋_GB2312"/>
                      <w:sz w:val="20"/>
                      <w:color w:val="000000"/>
                      <w:shd w:fill="FFFFFF" w:val="clear"/>
                    </w:rPr>
                    <w:t>1台（满足NB／T 47013.2的规定），曝光曲线制作阶梯试块1套；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39</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6）数字式超声检测仪1台；NB／T47013.3规定的标准试块和对比试块各1套，至少包括钢焊接接头用试块（包括CSK-IA、CSK-IIA-1、CSK-IIA-2），钢管环向对接接头用试块（包括GS-1、GS-2、GS-3、GS-4）和钢板用试块（包括阶梯平底试块、1～3号对比试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40</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7）磁粉检测仪1台，NB／T 47013.4规定的标准试片（块）1套，磁粉检测仪自校装置1套（含45N、118N提升力试块各1块）；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41</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8） NB／T 47013.5规定的A型对比试块和B型试块各1块；</w:t>
                  </w:r>
                </w:p>
              </w:tc>
            </w:tr>
            <w:tr>
              <w:tc>
                <w:tcPr>
                  <w:tcW w:type="dxa" w:w="166"/>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42</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9）数字式测厚仪、黑光灯、光照度计、黑光辐照度计各1台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43</w:t>
                  </w:r>
                </w:p>
              </w:tc>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设备配置</w:t>
                  </w:r>
                </w:p>
              </w:tc>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漏磁检测（</w:t>
                  </w:r>
                  <w:r>
                    <w:rPr>
                      <w:rFonts w:ascii="仿宋_GB2312" w:hAnsi="仿宋_GB2312" w:cs="仿宋_GB2312" w:eastAsia="仿宋_GB2312"/>
                      <w:sz w:val="20"/>
                      <w:color w:val="000000"/>
                      <w:shd w:fill="FFFFFF" w:val="clear"/>
                    </w:rPr>
                    <w:t>MFL）</w:t>
                  </w:r>
                </w:p>
                <w:p>
                  <w:pPr>
                    <w:pStyle w:val="null3"/>
                    <w:jc w:val="center"/>
                  </w:pPr>
                  <w:r>
                    <w:rPr>
                      <w:rFonts w:ascii="仿宋_GB2312" w:hAnsi="仿宋_GB2312" w:cs="仿宋_GB2312" w:eastAsia="仿宋_GB2312"/>
                      <w:sz w:val="20"/>
                      <w:color w:val="000000"/>
                      <w:shd w:fill="FFFFFF" w:val="clear"/>
                    </w:rPr>
                    <w:t>□无此项</w:t>
                  </w: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1）每个范围智能腐蚀内检测器1台，并配套内检测数据分析软件（漏磁内检测仪器设备应当经过性能评价、校准）；</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44</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2）每个范围智能变形检测器1台；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45</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3）管道清管器1套；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46</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4） NB／T 47013.12规定的对比试件1套；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47</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5）地面标记模块50个；</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48</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6）管体腐蚀成像检测仪1台；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49</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7）外壁漏磁检测仪1台；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50</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8）数字式测厚仪2台；</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51</w:t>
                  </w:r>
                </w:p>
              </w:tc>
              <w:tc>
                <w:tcPr>
                  <w:tcW w:type="dxa" w:w="168"/>
                  <w:vMerge/>
                  <w:tcBorders>
                    <w:top w:val="none" w:color="000000" w:sz="4"/>
                    <w:left w:val="single" w:color="000000" w:sz="4"/>
                    <w:bottom w:val="single" w:color="000000" w:sz="4"/>
                    <w:right w:val="single" w:color="000000" w:sz="4"/>
                  </w:tcBorders>
                </w:tcPr>
                <w:p/>
              </w:tc>
              <w:tc>
                <w:tcPr>
                  <w:tcW w:type="dxa" w:w="406"/>
                  <w:vMerge/>
                  <w:tcBorders>
                    <w:top w:val="none" w:color="000000" w:sz="4"/>
                    <w:left w:val="single" w:color="000000" w:sz="4"/>
                    <w:bottom w:val="single" w:color="000000" w:sz="4"/>
                    <w:right w:val="single" w:color="000000" w:sz="4"/>
                  </w:tcBorders>
                </w:tcPr>
                <w:p/>
              </w:tc>
              <w:tc>
                <w:tcPr>
                  <w:tcW w:type="dxa" w:w="181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9）数字式超声探伤仪1台；NB／T 47013.3规定的标准试块和对比试块各1套，至少包括钢焊接接头用试块（包括CSK-IA、CSK-IIA-1、CSK-IIA-2）</w:t>
                  </w:r>
                </w:p>
                <w:p>
                  <w:pPr>
                    <w:pStyle w:val="null3"/>
                    <w:jc w:val="center"/>
                  </w:pPr>
                  <w:r>
                    <w:rPr>
                      <w:rFonts w:ascii="仿宋_GB2312" w:hAnsi="仿宋_GB2312" w:cs="仿宋_GB2312" w:eastAsia="仿宋_GB2312"/>
                      <w:sz w:val="20"/>
                      <w:color w:val="000000"/>
                      <w:shd w:fill="FFFFFF" w:val="clear"/>
                    </w:rPr>
                    <w:t>和钢板用试块（包括阶梯平底试块、</w:t>
                  </w:r>
                  <w:r>
                    <w:rPr>
                      <w:rFonts w:ascii="仿宋_GB2312" w:hAnsi="仿宋_GB2312" w:cs="仿宋_GB2312" w:eastAsia="仿宋_GB2312"/>
                      <w:sz w:val="20"/>
                      <w:color w:val="000000"/>
                      <w:shd w:fill="FFFFFF" w:val="clear"/>
                    </w:rPr>
                    <w:t>1～3号对比试块）</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52</w:t>
                  </w:r>
                </w:p>
              </w:tc>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检验报告</w:t>
                  </w:r>
                </w:p>
              </w:tc>
              <w:tc>
                <w:tcPr>
                  <w:tcW w:type="dxa" w:w="222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shd w:fill="FFFFFF" w:val="clear"/>
                    </w:rPr>
                    <w:t>检</w:t>
                  </w:r>
                  <w:r>
                    <w:rPr>
                      <w:rFonts w:ascii="仿宋_GB2312" w:hAnsi="仿宋_GB2312" w:cs="仿宋_GB2312" w:eastAsia="仿宋_GB2312"/>
                      <w:sz w:val="20"/>
                      <w:color w:val="000000"/>
                      <w:shd w:fill="FFFFFF" w:val="clear"/>
                    </w:rPr>
                    <w:t>测</w:t>
                  </w:r>
                  <w:r>
                    <w:rPr>
                      <w:rFonts w:ascii="仿宋_GB2312" w:hAnsi="仿宋_GB2312" w:cs="仿宋_GB2312" w:eastAsia="仿宋_GB2312"/>
                      <w:sz w:val="20"/>
                      <w:color w:val="000000"/>
                      <w:shd w:fill="FFFFFF" w:val="clear"/>
                    </w:rPr>
                    <w:t>报告的</w:t>
                  </w:r>
                  <w:r>
                    <w:rPr>
                      <w:rFonts w:ascii="仿宋_GB2312" w:hAnsi="仿宋_GB2312" w:cs="仿宋_GB2312" w:eastAsia="仿宋_GB2312"/>
                      <w:sz w:val="20"/>
                      <w:color w:val="000000"/>
                      <w:shd w:fill="FFFFFF" w:val="clear"/>
                    </w:rPr>
                    <w:t>真实性、</w:t>
                  </w:r>
                  <w:r>
                    <w:rPr>
                      <w:rFonts w:ascii="仿宋_GB2312" w:hAnsi="仿宋_GB2312" w:cs="仿宋_GB2312" w:eastAsia="仿宋_GB2312"/>
                      <w:sz w:val="20"/>
                      <w:color w:val="000000"/>
                      <w:shd w:fill="FFFFFF" w:val="clear"/>
                    </w:rPr>
                    <w:t>准确性、有效性</w:t>
                  </w:r>
                </w:p>
              </w:tc>
            </w:tr>
            <w:tr>
              <w:tc>
                <w:tcPr>
                  <w:tcW w:type="dxa" w:w="1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53</w:t>
                  </w:r>
                </w:p>
              </w:tc>
              <w:tc>
                <w:tcPr>
                  <w:tcW w:type="dxa" w:w="168"/>
                  <w:vMerge/>
                  <w:tcBorders>
                    <w:top w:val="none" w:color="000000" w:sz="4"/>
                    <w:left w:val="single" w:color="000000" w:sz="4"/>
                    <w:bottom w:val="single" w:color="000000" w:sz="4"/>
                    <w:right w:val="single" w:color="000000" w:sz="4"/>
                  </w:tcBorders>
                </w:tcPr>
                <w:p/>
              </w:tc>
              <w:tc>
                <w:tcPr>
                  <w:tcW w:type="dxa" w:w="2220"/>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shd w:fill="FFFFFF" w:val="clear"/>
                    </w:rPr>
                    <w:t>按照规定要求，对档案和报告进行归档</w:t>
                  </w:r>
                </w:p>
              </w:tc>
            </w:tr>
            <w:tr>
              <w:tc>
                <w:tcPr>
                  <w:tcW w:type="dxa" w:w="166"/>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54</w:t>
                  </w:r>
                </w:p>
              </w:tc>
              <w:tc>
                <w:tcPr>
                  <w:tcW w:type="dxa" w:w="168"/>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shd w:fill="FFFFFF" w:val="clear"/>
                    </w:rPr>
                    <w:t>信息</w:t>
                  </w:r>
                </w:p>
                <w:p>
                  <w:pPr>
                    <w:pStyle w:val="null3"/>
                    <w:jc w:val="left"/>
                  </w:pPr>
                  <w:r>
                    <w:rPr>
                      <w:rFonts w:ascii="仿宋_GB2312" w:hAnsi="仿宋_GB2312" w:cs="仿宋_GB2312" w:eastAsia="仿宋_GB2312"/>
                      <w:sz w:val="20"/>
                      <w:color w:val="000000"/>
                      <w:shd w:fill="FFFFFF" w:val="clear"/>
                    </w:rPr>
                    <w:t>化系</w:t>
                  </w:r>
                </w:p>
                <w:p>
                  <w:pPr>
                    <w:pStyle w:val="null3"/>
                    <w:jc w:val="left"/>
                  </w:pPr>
                  <w:r>
                    <w:rPr>
                      <w:rFonts w:ascii="仿宋_GB2312" w:hAnsi="仿宋_GB2312" w:cs="仿宋_GB2312" w:eastAsia="仿宋_GB2312"/>
                      <w:sz w:val="20"/>
                      <w:color w:val="000000"/>
                      <w:shd w:fill="FFFFFF" w:val="clear"/>
                    </w:rPr>
                    <w:t>统</w:t>
                  </w:r>
                </w:p>
              </w:tc>
              <w:tc>
                <w:tcPr>
                  <w:tcW w:type="dxa" w:w="2220"/>
                  <w:gridSpan w:val="2"/>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shd w:fill="FFFFFF" w:val="clear"/>
                    </w:rPr>
                    <w:t>检查检测信息管理系统的建立情况，并要求尽快完成和省局特种设备智慧监管平台的对接工作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服务要求中的指定地点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服务内容全部完成，经采购人确认合格，确定项目完成。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shaanxihuahai@163.com（出具弃标函并发送至代理机构邮箱）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3、支付进度以第八章拟签订采购合同文本为准。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任意一年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个人所得税和印花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提供2024年度任意一年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人员资质</w:t>
            </w:r>
          </w:p>
        </w:tc>
        <w:tc>
          <w:tcPr>
            <w:tcW w:type="dxa" w:w="3322"/>
          </w:tcPr>
          <w:p>
            <w:pPr>
              <w:pStyle w:val="null3"/>
            </w:pPr>
            <w:r>
              <w:rPr>
                <w:rFonts w:ascii="仿宋_GB2312" w:hAnsi="仿宋_GB2312" w:cs="仿宋_GB2312" w:eastAsia="仿宋_GB2312"/>
              </w:rPr>
              <w:t>供应商拟派检查人员须具有特种设备无损检测二级及以上证件或无损检测鉴定评审人员证。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技术和商务偏离表.docx 报价表 响应函 合同条款响应.docx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 技术和商务偏离表.docx 标的清单 响应函 合同条款响应.docx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技术和商务偏离表.docx 标的清单 响应函 合同条款响应.docx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标的清单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技术和商务偏离表.docx 响应函 合同条款响应.docx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技术和商务偏离表.docx 标的清单 响应函 合同条款响应.docx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根据本项目工作要求制定服务方案，包括①项目实施方案②项目实施进度计划③项目质量管控措施④工作方法⑤结果报告⑥服务保障措施 评审标准： 以上内容切合本项目实际情况及实施要求，内容与要点相符、每个要点均有展开详细的阐述且能够适用于本项目的得18分。 评审内容任意一项缺项或只有标题没有实质性内容扣3分；评审内容任意一项有缺陷（缺陷是指：团队安排不合理、资料不齐全、制度不完善、进度计划安排不合理、措施方案不合理、方案描述过于简单、凭空编造、与项目特点不匹配、套用其他项目方案、存在不可能实现的夸大情形或存在不适用项目实际情况的情形）扣1.5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①组织机构设置方案②团队的职能分工及职责划分方案③拟投入人员配置、数量、经验及专业能力。评审标准：机构设置合理、团队人员职责划分明确、团队配置满足项目情况及需要，人员专业能力能有效保障项目服务质量，内容描述详细，架构清晰的得15分。 评审内容任意一项缺项扣5分； 评审内容有一项内容缺陷（缺陷是指：内容粗略、组织结构设置不合理、人员配置不合理、职责划分不明确、人员经验不足、与项目特点不匹配、或只有标题没有实质性内容等）扣2.5分。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①综合应急预案②现场处置预案 评审标准： 以上内容与要点相符、每个要点均有展开详细的阐述且能够适用于本项目，内容完善、程序合规、安排合理，职责明确，处理方案详细可行，能有效保证本项目做出有效应对的得8分。 评审内容任意一项缺项或只有标题没有实质性内容扣4分；评审内容任意一项有缺陷（缺陷是指：内容粗略、不完善、程序混乱、方案逻辑混乱、描述过于简单、与项目特点不匹配、出现常识性错误、套用其他项目方案、存在不可能实现的夸大情形或存在不适用项目实际情况的情形）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 ①安全管理体系、质量管理体系、安全管理制度、安全责任制及安全操作规程②设备设施安全检测及保证③安全风险管控、事故隐患、突出问题排查治理方案④安全监督检查实施方案。 评审标准： 内容与要点相符、每个要点均有展开详细的阐述且能够适用于本项目，内容完善、程序合理、职责明确，方案内容详细可行，能有效保证本项目做出有效应对的得16分。 评审内容任意一项缺项或只有标题没有实质性内容扣4分；评审内容任意一项有缺陷（缺陷是指：内容粗略、制度不完善、程序混乱、方案逻辑混乱、描述过于简单、与项目特点不匹配、出现常识性错误、套用其他项目方案、存在不可能实现的夸大情形或存在不适用项目实际情况的情形）扣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投诉处理方案</w:t>
            </w:r>
          </w:p>
        </w:tc>
        <w:tc>
          <w:tcPr>
            <w:tcW w:type="dxa" w:w="2492"/>
          </w:tcPr>
          <w:p>
            <w:pPr>
              <w:pStyle w:val="null3"/>
            </w:pPr>
            <w:r>
              <w:rPr>
                <w:rFonts w:ascii="仿宋_GB2312" w:hAnsi="仿宋_GB2312" w:cs="仿宋_GB2312" w:eastAsia="仿宋_GB2312"/>
              </w:rPr>
              <w:t>评审内容： ①投诉受理相关制度②投诉受理相关程序③投诉受理人员安排及职责④异议处理方案。 评审标准： 内容与要点相符、每个要点均有展开详细的阐述且能够适用于本项目，制度完善、程序合规、人员安排合理，职责明确，异议处理方案详细可行，能有效保证对被核查机构的异议做出有效回应的得12分。 评审内容任意一项缺项或只有标题没有实质性内容扣3分；评审内容任意一项有缺陷（缺陷是指：内容粗略、制度不完善、程序混乱、人员安排不合理、职责分工不明确、方案逻辑混乱、描述过于简单、与项目特点不匹配、出现常识性错误、套用其他项目方案、存在不可能实现的夸大情形或存在不适用项目实际情况的情形）扣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 制度</w:t>
            </w:r>
          </w:p>
        </w:tc>
        <w:tc>
          <w:tcPr>
            <w:tcW w:type="dxa" w:w="2492"/>
          </w:tcPr>
          <w:p>
            <w:pPr>
              <w:pStyle w:val="null3"/>
            </w:pPr>
            <w:r>
              <w:rPr>
                <w:rFonts w:ascii="仿宋_GB2312" w:hAnsi="仿宋_GB2312" w:cs="仿宋_GB2312" w:eastAsia="仿宋_GB2312"/>
              </w:rPr>
              <w:t>评审内容： 供应商具有完善的管理体系，包括①人员管理制度②资料档案管理制度③信息反馈④工作管理制度。 评审标准： 上述4项内容，每项均有完整具体合理的描述且满足项目需求的，得满分12分； 评审内容任意一项缺项或只有标题没有实质性内容扣3分；评审内容任意一项有缺陷（缺陷是指：内容不完整、粗略、与项目特点不匹配、逻辑混乱、套用其他项目内容等）扣1.5分。未提供不得分。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了更好的保障本项目的服务质量及项目的顺利实施，供应商根据项目实际情况提供合理化建议。内容详细，见解独到，具有较强针对性，得3分；内容笼统，没有对其观点展开论述，得2分；内容有缺陷（内容与项目无关）或只有标题没有实质性内容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业绩：供应商提供2022年1月至今类似业绩，以合同复印件加盖公章为准，每提供一个得2分，最高得6分。 注：业绩须提供合同复印件(加盖供应商公章)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