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版本号：2025YXWH20250918001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陕西省水土保持监测站点2025年度运行维护项目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2025YXWH</w:t>
      </w:r>
      <w:r>
        <w:br/>
      </w:r>
      <w:r>
        <w:br/>
      </w:r>
      <w:r>
        <w:br/>
      </w:r>
    </w:p>
    <w:p>
      <w:pPr>
        <w:pStyle w:val="null3"/>
        <w:jc w:val="center"/>
        <w:outlineLvl w:val="2"/>
      </w:pPr>
      <w:r>
        <w:rPr>
          <w:rFonts w:ascii="仿宋_GB2312" w:hAnsi="仿宋_GB2312" w:cs="仿宋_GB2312" w:eastAsia="仿宋_GB2312"/>
          <w:sz w:val="28"/>
          <w:b/>
        </w:rPr>
        <w:t>陕西省水土保持生态环境监测中心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陕西省水土保持生态环境监测中心</w:t>
      </w:r>
      <w:r>
        <w:rPr>
          <w:rFonts w:ascii="仿宋_GB2312" w:hAnsi="仿宋_GB2312" w:cs="仿宋_GB2312" w:eastAsia="仿宋_GB2312"/>
        </w:rPr>
        <w:t>委托，拟对</w:t>
      </w:r>
      <w:r>
        <w:rPr>
          <w:rFonts w:ascii="仿宋_GB2312" w:hAnsi="仿宋_GB2312" w:cs="仿宋_GB2312" w:eastAsia="仿宋_GB2312"/>
        </w:rPr>
        <w:t>陕西省水土保持监测站点2025年度运行维护项目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2025YXWH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陕西省水土保持监测站点2025年度运行维护项目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水土保持监测是生态环境建设和经济社会发展的基础工作，水土保持监测工作产生的数据可以反映生态环境的情况,开展水土流失监测能及时了解我省土壤侵蚀状况、类型、强度与分布特征、危害及其影响情况、发生发展规律、动态变化趋势，通过水土保持监测站点监测数据的深度分析与应用，科学评价水土流失状况和水土保持生态建设效益，为政府部门和公众了解环境状况提供重要数据，为政府制定生态环境建设的政策提供数据支撑，更好地指导区域经济建设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7、项目负责人要求：项目负责人须具有水利相关专业高级工程师及以上职称；</w:t>
      </w:r>
    </w:p>
    <w:p>
      <w:pPr>
        <w:pStyle w:val="null3"/>
      </w:pPr>
      <w:r>
        <w:rPr>
          <w:rFonts w:ascii="仿宋_GB2312" w:hAnsi="仿宋_GB2312" w:cs="仿宋_GB2312" w:eastAsia="仿宋_GB2312"/>
        </w:rPr>
        <w:t>8、单位负责人要求：单位负责人为同一人或者存在直接控股、管理关系的不同供应商，不得参加同一合同项下的政府采购活动；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9、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陕西省水土保持生态环境监测中心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西安市航天经济技术开发区神舟四路239号1幢1单位</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陕西省水土保持生态环境监测中心经办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029-85936062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孙超、邹贤钧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陕西省水土保持生态环境监测中心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陕西省水土保持生态环境监测中心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陕西省水土保持生态环境监测中心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应满足《径流小区和小流域控制站监测手册》、《水土保持监测技术规范》（SL/T 277-2024）要求，以现有站点设施设备为基础，保障现有设施设备逐步良性运行。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地址：陕西省西安市未央区文景路中段202号陕西省三门峡库区防汛调度中心11楼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土保持监测是生态环境建设和经济社会发展的的基础工作，水土保持监测工作产生的数据可以反映生态环境的情况,开展水土流失监测能及时了解我省土壤侵蚀状况、类型、程度、强度与分布特征、危害及其影响情况、发生发展规律、动态变化趋势，通过水土保持监测站点监测数据的深度分析与应用，科学评价水土流失状况和水土保持生态建设效益，为政府部门和公众了解环境状况提供重要数据，为政府制定生态环境建设的政策提供数据支撑，更好地指导区域经济建设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3,150,000.00</w:t>
      </w:r>
    </w:p>
    <w:p>
      <w:pPr>
        <w:pStyle w:val="null3"/>
      </w:pPr>
      <w:r>
        <w:rPr>
          <w:rFonts w:ascii="仿宋_GB2312" w:hAnsi="仿宋_GB2312" w:cs="仿宋_GB2312" w:eastAsia="仿宋_GB2312"/>
        </w:rPr>
        <w:t>采购包最高限价（元）: 3,150,000.00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陕西省水土保持监测站点2025年度运行维护项目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标的名称：陕西省水土保持监测站点2025年度运行维护项目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水土保持监测是生态环境建设和经济社会发展的基础工作，水土保持监测工作产生的数据可以反映生态环境的情况</w:t>
            </w:r>
            <w:r>
              <w:rPr>
                <w:rFonts w:ascii="仿宋_GB2312" w:hAnsi="仿宋_GB2312" w:cs="仿宋_GB2312" w:eastAsia="仿宋_GB2312"/>
                <w:sz w:val="24"/>
              </w:rPr>
              <w:t>,</w:t>
            </w:r>
            <w:r>
              <w:rPr>
                <w:rFonts w:ascii="仿宋_GB2312" w:hAnsi="仿宋_GB2312" w:cs="仿宋_GB2312" w:eastAsia="仿宋_GB2312"/>
                <w:sz w:val="24"/>
              </w:rPr>
              <w:t>开展水土流失监测能及时了解我省土壤侵蚀状况、类型、强度与分布特征、危害及其影响情况、发生发展规律、动态变化趋势，通过水土保持监测站点监测数据的深度分析与应用，科学评价水土流失状况和水土保持生态建设效益，为政府部门和公众了解环境状况提供重要数据，为政府制定生态环境建设的政策提供数据支撑，更好地指导区域经济建设发展。</w:t>
            </w:r>
          </w:p>
          <w:p>
            <w:pPr>
              <w:pStyle w:val="null3"/>
            </w:pPr>
            <w:r>
              <w:rPr>
                <w:rFonts w:ascii="仿宋_GB2312" w:hAnsi="仿宋_GB2312" w:cs="仿宋_GB2312" w:eastAsia="仿宋_GB2312"/>
                <w:sz w:val="24"/>
                <w:b/>
              </w:rPr>
              <w:t>二、服务内容及服务要求</w:t>
            </w:r>
          </w:p>
          <w:p>
            <w:pPr>
              <w:pStyle w:val="null3"/>
              <w:ind w:firstLine="480"/>
              <w:jc w:val="left"/>
            </w:pPr>
            <w:r>
              <w:rPr>
                <w:rFonts w:ascii="仿宋_GB2312" w:hAnsi="仿宋_GB2312" w:cs="仿宋_GB2312" w:eastAsia="仿宋_GB2312"/>
                <w:sz w:val="24"/>
              </w:rPr>
              <w:t>针对目前具备运维条件的</w:t>
            </w:r>
            <w:r>
              <w:rPr>
                <w:rFonts w:ascii="仿宋_GB2312" w:hAnsi="仿宋_GB2312" w:cs="仿宋_GB2312" w:eastAsia="仿宋_GB2312"/>
                <w:sz w:val="24"/>
              </w:rPr>
              <w:t>31</w:t>
            </w:r>
            <w:r>
              <w:rPr>
                <w:rFonts w:ascii="仿宋_GB2312" w:hAnsi="仿宋_GB2312" w:cs="仿宋_GB2312" w:eastAsia="仿宋_GB2312"/>
                <w:sz w:val="24"/>
              </w:rPr>
              <w:t>个监测站点，充分发挥现有监测设备和设施功能，按照逐步完善、逐年改善提高、逐步达到良性运行的要求，开展运维工作。</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、监测设施维护，加强对现有</w:t>
            </w:r>
            <w:r>
              <w:rPr>
                <w:rFonts w:ascii="仿宋_GB2312" w:hAnsi="仿宋_GB2312" w:cs="仿宋_GB2312" w:eastAsia="仿宋_GB2312"/>
                <w:sz w:val="24"/>
              </w:rPr>
              <w:t>17</w:t>
            </w:r>
            <w:r>
              <w:rPr>
                <w:rFonts w:ascii="仿宋_GB2312" w:hAnsi="仿宋_GB2312" w:cs="仿宋_GB2312" w:eastAsia="仿宋_GB2312"/>
                <w:sz w:val="24"/>
              </w:rPr>
              <w:t>座小流域控制站、</w:t>
            </w:r>
            <w:r>
              <w:rPr>
                <w:rFonts w:ascii="仿宋_GB2312" w:hAnsi="仿宋_GB2312" w:cs="仿宋_GB2312" w:eastAsia="仿宋_GB2312"/>
                <w:sz w:val="24"/>
              </w:rPr>
              <w:t>185</w:t>
            </w:r>
            <w:r>
              <w:rPr>
                <w:rFonts w:ascii="仿宋_GB2312" w:hAnsi="仿宋_GB2312" w:cs="仿宋_GB2312" w:eastAsia="仿宋_GB2312"/>
                <w:sz w:val="24"/>
              </w:rPr>
              <w:t>个径流观测小区以及监测附属设施的维护，确保现有设施良性运行；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、自动监测设备运行维护，加强对现有</w:t>
            </w:r>
            <w:r>
              <w:rPr>
                <w:rFonts w:ascii="仿宋_GB2312" w:hAnsi="仿宋_GB2312" w:cs="仿宋_GB2312" w:eastAsia="仿宋_GB2312"/>
                <w:sz w:val="24"/>
              </w:rPr>
              <w:t>49</w:t>
            </w:r>
            <w:r>
              <w:rPr>
                <w:rFonts w:ascii="仿宋_GB2312" w:hAnsi="仿宋_GB2312" w:cs="仿宋_GB2312" w:eastAsia="仿宋_GB2312"/>
                <w:sz w:val="24"/>
              </w:rPr>
              <w:t>台泥沙径流观测设备、</w:t>
            </w:r>
            <w:r>
              <w:rPr>
                <w:rFonts w:ascii="仿宋_GB2312" w:hAnsi="仿宋_GB2312" w:cs="仿宋_GB2312" w:eastAsia="仿宋_GB2312"/>
                <w:sz w:val="24"/>
              </w:rPr>
              <w:t>31</w:t>
            </w:r>
            <w:r>
              <w:rPr>
                <w:rFonts w:ascii="仿宋_GB2312" w:hAnsi="仿宋_GB2312" w:cs="仿宋_GB2312" w:eastAsia="仿宋_GB2312"/>
                <w:sz w:val="24"/>
              </w:rPr>
              <w:t>处气象站、</w:t>
            </w:r>
            <w:r>
              <w:rPr>
                <w:rFonts w:ascii="仿宋_GB2312" w:hAnsi="仿宋_GB2312" w:cs="仿宋_GB2312" w:eastAsia="仿宋_GB2312"/>
                <w:sz w:val="24"/>
              </w:rPr>
              <w:t>5</w:t>
            </w:r>
            <w:r>
              <w:rPr>
                <w:rFonts w:ascii="仿宋_GB2312" w:hAnsi="仿宋_GB2312" w:cs="仿宋_GB2312" w:eastAsia="仿宋_GB2312"/>
                <w:sz w:val="24"/>
              </w:rPr>
              <w:t>套风蚀观测设备维护，确保现有自动化观测设备能正常监测、数据正常传输，并按要求逐年检定；</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、定位观测，</w:t>
            </w:r>
            <w:r>
              <w:rPr>
                <w:rFonts w:ascii="仿宋_GB2312" w:hAnsi="仿宋_GB2312" w:cs="仿宋_GB2312" w:eastAsia="仿宋_GB2312"/>
                <w:sz w:val="24"/>
              </w:rPr>
              <w:t>185</w:t>
            </w:r>
            <w:r>
              <w:rPr>
                <w:rFonts w:ascii="仿宋_GB2312" w:hAnsi="仿宋_GB2312" w:cs="仿宋_GB2312" w:eastAsia="仿宋_GB2312"/>
                <w:sz w:val="24"/>
              </w:rPr>
              <w:t>个径流小区中</w:t>
            </w:r>
            <w:r>
              <w:rPr>
                <w:rFonts w:ascii="仿宋_GB2312" w:hAnsi="仿宋_GB2312" w:cs="仿宋_GB2312" w:eastAsia="仿宋_GB2312"/>
                <w:sz w:val="24"/>
              </w:rPr>
              <w:t>40</w:t>
            </w:r>
            <w:r>
              <w:rPr>
                <w:rFonts w:ascii="仿宋_GB2312" w:hAnsi="仿宋_GB2312" w:cs="仿宋_GB2312" w:eastAsia="仿宋_GB2312"/>
                <w:sz w:val="24"/>
              </w:rPr>
              <w:t>个开展自动观测，</w:t>
            </w:r>
            <w:r>
              <w:rPr>
                <w:rFonts w:ascii="仿宋_GB2312" w:hAnsi="仿宋_GB2312" w:cs="仿宋_GB2312" w:eastAsia="仿宋_GB2312"/>
                <w:sz w:val="24"/>
              </w:rPr>
              <w:t xml:space="preserve">39 </w:t>
            </w:r>
            <w:r>
              <w:rPr>
                <w:rFonts w:ascii="仿宋_GB2312" w:hAnsi="仿宋_GB2312" w:cs="仿宋_GB2312" w:eastAsia="仿宋_GB2312"/>
                <w:sz w:val="24"/>
              </w:rPr>
              <w:t>个采用人工观测，径流小区监测比例达到</w:t>
            </w:r>
            <w:r>
              <w:rPr>
                <w:rFonts w:ascii="仿宋_GB2312" w:hAnsi="仿宋_GB2312" w:cs="仿宋_GB2312" w:eastAsia="仿宋_GB2312"/>
                <w:sz w:val="24"/>
              </w:rPr>
              <w:t>43%</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个小流域控制站</w:t>
            </w:r>
            <w:r>
              <w:rPr>
                <w:rFonts w:ascii="仿宋_GB2312" w:hAnsi="仿宋_GB2312" w:cs="仿宋_GB2312" w:eastAsia="仿宋_GB2312"/>
                <w:sz w:val="24"/>
              </w:rPr>
              <w:t>(</w:t>
            </w:r>
            <w:r>
              <w:rPr>
                <w:rFonts w:ascii="仿宋_GB2312" w:hAnsi="仿宋_GB2312" w:cs="仿宋_GB2312" w:eastAsia="仿宋_GB2312"/>
                <w:sz w:val="24"/>
              </w:rPr>
              <w:t>卡口站</w:t>
            </w:r>
            <w:r>
              <w:rPr>
                <w:rFonts w:ascii="仿宋_GB2312" w:hAnsi="仿宋_GB2312" w:cs="仿宋_GB2312" w:eastAsia="仿宋_GB2312"/>
                <w:sz w:val="24"/>
              </w:rPr>
              <w:t>)8</w:t>
            </w:r>
            <w:r>
              <w:rPr>
                <w:rFonts w:ascii="仿宋_GB2312" w:hAnsi="仿宋_GB2312" w:cs="仿宋_GB2312" w:eastAsia="仿宋_GB2312"/>
                <w:sz w:val="24"/>
              </w:rPr>
              <w:t>个自动观测，</w:t>
            </w:r>
            <w:r>
              <w:rPr>
                <w:rFonts w:ascii="仿宋_GB2312" w:hAnsi="仿宋_GB2312" w:cs="仿宋_GB2312" w:eastAsia="仿宋_GB2312"/>
                <w:sz w:val="24"/>
              </w:rPr>
              <w:t>9</w:t>
            </w:r>
            <w:r>
              <w:rPr>
                <w:rFonts w:ascii="仿宋_GB2312" w:hAnsi="仿宋_GB2312" w:cs="仿宋_GB2312" w:eastAsia="仿宋_GB2312"/>
                <w:sz w:val="24"/>
              </w:rPr>
              <w:t>个开展人工观测；</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、构建全省监测数据信息存储库，保障监测数据安全；</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、更换</w:t>
            </w:r>
            <w:r>
              <w:rPr>
                <w:rFonts w:ascii="仿宋_GB2312" w:hAnsi="仿宋_GB2312" w:cs="仿宋_GB2312" w:eastAsia="仿宋_GB2312"/>
                <w:sz w:val="24"/>
              </w:rPr>
              <w:t>3</w:t>
            </w:r>
            <w:r>
              <w:rPr>
                <w:rFonts w:ascii="仿宋_GB2312" w:hAnsi="仿宋_GB2312" w:cs="仿宋_GB2312" w:eastAsia="仿宋_GB2312"/>
                <w:sz w:val="24"/>
              </w:rPr>
              <w:t>台泥沙径流自动监测仪，保障重点站自动监测能力提升；</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、每年开展一次日常安全监督检查；</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、完成全省</w:t>
            </w:r>
            <w:r>
              <w:rPr>
                <w:rFonts w:ascii="仿宋_GB2312" w:hAnsi="仿宋_GB2312" w:cs="仿宋_GB2312" w:eastAsia="仿宋_GB2312"/>
                <w:sz w:val="24"/>
              </w:rPr>
              <w:t>2025</w:t>
            </w:r>
            <w:r>
              <w:rPr>
                <w:rFonts w:ascii="仿宋_GB2312" w:hAnsi="仿宋_GB2312" w:cs="仿宋_GB2312" w:eastAsia="仿宋_GB2312"/>
                <w:sz w:val="24"/>
              </w:rPr>
              <w:t>年度监测数据整汇编。</w:t>
            </w:r>
          </w:p>
          <w:p>
            <w:pPr>
              <w:pStyle w:val="null3"/>
            </w:pPr>
            <w:r>
              <w:rPr>
                <w:rFonts w:ascii="仿宋_GB2312" w:hAnsi="仿宋_GB2312" w:cs="仿宋_GB2312" w:eastAsia="仿宋_GB2312"/>
                <w:sz w:val="24"/>
                <w:b/>
              </w:rPr>
              <w:t>三、项目实施依据</w:t>
            </w:r>
          </w:p>
          <w:p>
            <w:pPr>
              <w:pStyle w:val="null3"/>
            </w:pPr>
            <w:r>
              <w:rPr>
                <w:rFonts w:ascii="仿宋_GB2312" w:hAnsi="仿宋_GB2312" w:cs="仿宋_GB2312" w:eastAsia="仿宋_GB2312"/>
              </w:rPr>
              <w:t xml:space="preserve">     </w:t>
            </w:r>
            <w:r>
              <w:rPr>
                <w:rFonts w:ascii="仿宋_GB2312" w:hAnsi="仿宋_GB2312" w:cs="仿宋_GB2312" w:eastAsia="仿宋_GB2312"/>
                <w:sz w:val="24"/>
              </w:rPr>
              <w:t>《陕西省水土保持监测站点2025年度运行维护项目任务书》</w:t>
            </w: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四、技术要求</w:t>
            </w:r>
          </w:p>
          <w:p>
            <w:pPr>
              <w:pStyle w:val="null3"/>
              <w:ind w:firstLine="480"/>
              <w:jc w:val="both"/>
            </w:pPr>
            <w:r>
              <w:rPr>
                <w:rFonts w:ascii="仿宋_GB2312" w:hAnsi="仿宋_GB2312" w:cs="仿宋_GB2312" w:eastAsia="仿宋_GB2312"/>
                <w:sz w:val="24"/>
                <w:color w:val="333333"/>
                <w:shd w:fill="FFFFFF" w:val="clear"/>
              </w:rPr>
              <w:t xml:space="preserve">4.1 </w:t>
            </w:r>
            <w:r>
              <w:rPr>
                <w:rFonts w:ascii="仿宋_GB2312" w:hAnsi="仿宋_GB2312" w:cs="仿宋_GB2312" w:eastAsia="仿宋_GB2312"/>
                <w:sz w:val="24"/>
                <w:color w:val="333333"/>
                <w:shd w:fill="FFFFFF" w:val="clear"/>
              </w:rPr>
              <w:t>主要技术标准：</w:t>
            </w:r>
          </w:p>
          <w:p>
            <w:pPr>
              <w:pStyle w:val="null3"/>
              <w:ind w:firstLine="480"/>
              <w:jc w:val="both"/>
            </w:pPr>
            <w:r>
              <w:rPr>
                <w:rFonts w:ascii="仿宋_GB2312" w:hAnsi="仿宋_GB2312" w:cs="仿宋_GB2312" w:eastAsia="仿宋_GB2312"/>
                <w:sz w:val="24"/>
                <w:color w:val="333333"/>
                <w:shd w:fill="FFFFFF" w:val="clear"/>
              </w:rPr>
              <w:t xml:space="preserve">1. </w:t>
            </w:r>
            <w:r>
              <w:rPr>
                <w:rFonts w:ascii="仿宋_GB2312" w:hAnsi="仿宋_GB2312" w:cs="仿宋_GB2312" w:eastAsia="仿宋_GB2312"/>
                <w:sz w:val="24"/>
                <w:color w:val="333333"/>
                <w:shd w:fill="FFFFFF" w:val="clear"/>
              </w:rPr>
              <w:t>《径流小区和小流域控制站监测手册》</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《水土保持监测技术规程》(SL277-2002)</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《水土保持监测设备通用技术条件》(SL342-2006)</w:t>
            </w:r>
          </w:p>
          <w:p>
            <w:pPr>
              <w:pStyle w:val="null3"/>
              <w:ind w:firstLine="480"/>
              <w:jc w:val="both"/>
            </w:pP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《水土保持业务经费定额标准》(水财务[2014]253号)</w:t>
            </w:r>
          </w:p>
          <w:p>
            <w:pPr>
              <w:pStyle w:val="null3"/>
              <w:ind w:firstLine="480"/>
              <w:jc w:val="both"/>
            </w:pP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《工程勘察设计收费标准》(计价格〔2002]10号)</w:t>
            </w:r>
          </w:p>
          <w:p>
            <w:pPr>
              <w:pStyle w:val="null3"/>
              <w:ind w:firstLine="480"/>
              <w:jc w:val="both"/>
            </w:pPr>
            <w:r>
              <w:rPr>
                <w:rFonts w:ascii="仿宋_GB2312" w:hAnsi="仿宋_GB2312" w:cs="仿宋_GB2312" w:eastAsia="仿宋_GB2312"/>
                <w:sz w:val="24"/>
                <w:shd w:fill="FFFFFF" w:val="clear"/>
              </w:rPr>
              <w:t>4.2</w:t>
            </w:r>
            <w:r>
              <w:rPr>
                <w:rFonts w:ascii="仿宋_GB2312" w:hAnsi="仿宋_GB2312" w:cs="仿宋_GB2312" w:eastAsia="仿宋_GB2312"/>
                <w:sz w:val="24"/>
                <w:shd w:fill="FFFFFF" w:val="clear"/>
              </w:rPr>
              <w:t>服务期限</w:t>
            </w:r>
          </w:p>
          <w:p>
            <w:pPr>
              <w:pStyle w:val="null3"/>
              <w:ind w:firstLine="480"/>
              <w:jc w:val="both"/>
            </w:pPr>
            <w:r>
              <w:rPr>
                <w:rFonts w:ascii="仿宋_GB2312" w:hAnsi="仿宋_GB2312" w:cs="仿宋_GB2312" w:eastAsia="仿宋_GB2312"/>
                <w:sz w:val="24"/>
                <w:shd w:fill="FFFFFF" w:val="clear"/>
              </w:rPr>
              <w:t>服务期限：自合同签订之日起60日历天。</w:t>
            </w:r>
          </w:p>
          <w:p>
            <w:pPr>
              <w:pStyle w:val="null3"/>
            </w:pPr>
            <w:r>
              <w:rPr>
                <w:rFonts w:ascii="仿宋_GB2312" w:hAnsi="仿宋_GB2312" w:cs="仿宋_GB2312" w:eastAsia="仿宋_GB2312"/>
                <w:sz w:val="24"/>
                <w:b/>
              </w:rPr>
              <w:t>五、主要成果及目标</w:t>
            </w:r>
          </w:p>
          <w:p>
            <w:pPr>
              <w:pStyle w:val="null3"/>
              <w:ind w:firstLine="480"/>
              <w:jc w:val="both"/>
            </w:pP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、全省监测站点现状报告；</w:t>
            </w:r>
          </w:p>
          <w:p>
            <w:pPr>
              <w:pStyle w:val="null3"/>
              <w:ind w:firstLine="480"/>
              <w:jc w:val="both"/>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、全省监测站点设施设备更新及维修维护清单及佐证资料；</w:t>
            </w:r>
          </w:p>
          <w:p>
            <w:pPr>
              <w:pStyle w:val="null3"/>
              <w:ind w:firstLine="480"/>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、整编分析全省监测站点观测数据并刊印。</w:t>
            </w:r>
          </w:p>
          <w:p>
            <w:pPr>
              <w:pStyle w:val="null3"/>
            </w:pPr>
            <w:r>
              <w:rPr>
                <w:rFonts w:ascii="仿宋_GB2312" w:hAnsi="仿宋_GB2312" w:cs="仿宋_GB2312" w:eastAsia="仿宋_GB2312"/>
                <w:sz w:val="24"/>
                <w:b/>
              </w:rPr>
              <w:t>六、验收</w:t>
            </w:r>
          </w:p>
          <w:p>
            <w:pPr>
              <w:pStyle w:val="null3"/>
              <w:ind w:firstLine="480"/>
              <w:jc w:val="both"/>
            </w:pPr>
            <w:r>
              <w:rPr>
                <w:rFonts w:ascii="仿宋_GB2312" w:hAnsi="仿宋_GB2312" w:cs="仿宋_GB2312" w:eastAsia="仿宋_GB2312"/>
                <w:sz w:val="24"/>
                <w:color w:val="333333"/>
                <w:shd w:fill="FFFFFF" w:val="clear"/>
              </w:rPr>
              <w:t>应满足《径流小区和小流域控制站监测手册》、《水土保持监测技术规范》（SL/T 277-2024）要求，以现有站点设施设备为基础，保障现有设施设备逐步良性运行。</w:t>
            </w:r>
          </w:p>
          <w:p>
            <w:pPr>
              <w:pStyle w:val="null3"/>
            </w:pPr>
            <w:r>
              <w:rPr>
                <w:rFonts w:ascii="仿宋_GB2312" w:hAnsi="仿宋_GB2312" w:cs="仿宋_GB2312" w:eastAsia="仿宋_GB2312"/>
                <w:sz w:val="24"/>
                <w:b/>
              </w:rPr>
              <w:t>七、其他要求</w:t>
            </w:r>
          </w:p>
          <w:p>
            <w:pPr>
              <w:pStyle w:val="null3"/>
              <w:ind w:firstLine="600"/>
              <w:jc w:val="both"/>
            </w:pPr>
            <w:r>
              <w:rPr>
                <w:rFonts w:ascii="仿宋_GB2312" w:hAnsi="仿宋_GB2312" w:cs="仿宋_GB2312" w:eastAsia="仿宋_GB2312"/>
                <w:sz w:val="24"/>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与地方签订合同后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向地方支付合同金额超70%或提交履约担保后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响应性文件，同时，线下提交纸质响应性文件壹份。纸质响应性文件应胶装，标明供应商名称密封递交。线下纸质文件递交截止时间：同在线递交电子响应性文件截止时间一致；线下纸质文件递交地点：西安市未央区文景路中段202号陕西省三门峡库区防汛调度中心11层第一会议室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项目负责人须具有水利相关专业高级工程师及以上职称；</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服务内容及服务邀请应答表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服务期的符合性</w:t>
            </w:r>
          </w:p>
        </w:tc>
        <w:tc>
          <w:tcPr>
            <w:tcW w:type="dxa" w:w="3322"/>
          </w:tcPr>
          <w:p>
            <w:pPr>
              <w:pStyle w:val="null3"/>
            </w:pPr>
            <w:r>
              <w:rPr>
                <w:rFonts w:ascii="仿宋_GB2312" w:hAnsi="仿宋_GB2312" w:cs="仿宋_GB2312" w:eastAsia="仿宋_GB2312"/>
              </w:rPr>
              <w:t>服务期符合采购人要求。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一、评审内容 供应商针对运维方案，内容应包含： ①日常巡检；②观测方案；③故障处置；④ 数据库建设方案；⑤数据整理、分析汇编方案；⑥运维档案记录；⑦制度管理。 二、评审标准 1、完整性：方案必须全面，对评审内容中的各项要求有详细描述； 2、可实施性：切合本项目实际情况，提出步骤清晰、合理的方案； 3、针对性：方案能够紧扣项目实际情况，内容科学合理。 三、赋分标准 以上三项评审内容，满足一项得3分，每一子项有缺陷或不完全满足扣0.5分，不得负分，缺项不得分。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供应商针对本项目应急预案，内容包含： ①应急响应方案；②应急处理流程和方法；③应急保障措施；④应急备品备件准备；⑤重大故障替代方案。 二、评审标准 1、完整性：方案必须全面，对评审内容中的各项要求有详细描述； 2、可实施性：切合本项目实际情况，提出步骤清晰、合理的方案； 3、针对性：方案能够紧扣项目实际情况，内容科学合理。 三、赋分标准 以上三项评审内容，满足一项得1分，每一子项有缺陷或不完全满足扣0.5分，不得负分，缺项不得分。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质量控制保障方案</w:t>
            </w:r>
          </w:p>
        </w:tc>
        <w:tc>
          <w:tcPr>
            <w:tcW w:type="dxa" w:w="2492"/>
          </w:tcPr>
          <w:p>
            <w:pPr>
              <w:pStyle w:val="null3"/>
            </w:pPr>
            <w:r>
              <w:rPr>
                <w:rFonts w:ascii="仿宋_GB2312" w:hAnsi="仿宋_GB2312" w:cs="仿宋_GB2312" w:eastAsia="仿宋_GB2312"/>
              </w:rPr>
              <w:t>一、评审内容 供应商针对本项目质量保障方案，内容包含： ①质量控制环节；②质量检查方法；③质量检查元素；④质量控制技术及保障措施。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供应商针对本项目进度保障方案，内容包含： ①项目进度计划； ②进度保障措施。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供应商针对本项目安全保障方案，内容包含： ①项目可能涉及的安全风险评估②安全管理制度③安全保障措施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以上评审内容，满足一项得3分，每有一子项有缺陷或不完全满足扣0.5分，不得负分，缺项不得分。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①项目可能涉及的泄密风险元素评估； ②保密管理制度、保密保障措施。 二、评审标准 1、完整性：意见或建议必须全面，有详细描述； 2、可实施性：切合本项目实际情况，提出步骤清晰、合理的方案； 3、针对性：意见能够紧扣项目实际情况，内容科学合理；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供应商针对本项目组织机构，内容包含： ① 管理机构配备计划；（专业配备、专业分工等） ② 组织机构岗位职责。（项目负责人、技术负责人、运维人员等岗位职责）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以上两项评审内容，满足一项得4分，每有一子项有缺陷或不完全满足扣1分，不得负分，缺项不得分。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团队其他人员具有水利相关专业高级或以上职称每1人得2分，中级职称每一人得1分，其余不得分。总分：8分。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近三年承担过类似项目，有一项类似项目得2分，但最多不超过8分；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拒绝商业贿赂承诺书.docx</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详见附件：项目负责人简况表</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