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版本号：SXWZ2025ZB-SXRM-20820250916001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医用织物洗涤服务项目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SXWZ2025ZB-SXRM-208</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医用织物洗涤服务项目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SXWZ2025ZB-SXRM-208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医用织物洗涤服务项目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医用织物洗涤服务项目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采购包1（医用织物洗涤服务）：属于专门面向中小企业采购。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法人提供会计师事务所出具的有效的2024年度审计报告（至少包括“四表一注”，即资产负债表、利润表、现金流量表、所有者权益变动表及其附注，成立时间至提交投标文件截止时间不足一年的可提供成立后任意时段的资产负债表），或提交自2025年1月1日以来基本账户银行出具的资信证明（提供基本户证明材料），或信用担保机构出具的投标担保函（以上三种形式的资料提供任何一种即可）；其他组织和自然人提供银行出具的资信证明或财务报表；注：财会[2023]15号文《财政部 国务院国资委 金融监管总局关于加强审计报告查验工作的通知》会计师事务所应当主动向被审计单位提供附验证码的审计报告。即 2023 年及以后的审计报告需附验证码；</w:t>
      </w:r>
    </w:p>
    <w:p>
      <w:pPr>
        <w:pStyle w:val="null3"/>
      </w:pPr>
      <w:r>
        <w:rPr>
          <w:rFonts w:ascii="仿宋_GB2312" w:hAnsi="仿宋_GB2312" w:cs="仿宋_GB2312" w:eastAsia="仿宋_GB2312"/>
        </w:rPr>
        <w:t>3、税收缴纳证明：提供2025年1月至今已缴存的至少一个月的依法缴纳税款的相关凭据（时间以税款所属日期为准），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7、法定代表人授权委托书：供应商应授权合法的人员参加投标，其中法定代表人直接参加的，须提供法定代表人身份证，并与营业执照上信息一致。法定代表人授权代表参加的，须提供法定代表人授权书；</w:t>
      </w:r>
    </w:p>
    <w:p>
      <w:pPr>
        <w:pStyle w:val="null3"/>
      </w:pPr>
      <w:r>
        <w:rPr>
          <w:rFonts w:ascii="仿宋_GB2312" w:hAnsi="仿宋_GB2312" w:cs="仿宋_GB2312" w:eastAsia="仿宋_GB2312"/>
        </w:rPr>
        <w:t>8、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029-85253888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采购包1：5,328,000.00元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开户名称：陕西万泽招标有限公司（转账备注项目编号后四位数字）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含）以下项目按照下浮40%进行收取；50万元（不含）以上的项目按照下浮43%进行收取。 服务费请中标方转入以下收款账户（此账号只接受对公转账）： 户名：陕西万泽招标有限公司； 账户：2110 1158 0000 0154 89； 开户行：西安银行朝阳门支行 转款事项：省人民 - 208服务费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w:t>
      </w:r>
    </w:p>
    <w:p>
      <w:pPr>
        <w:pStyle w:val="null3"/>
      </w:pPr>
      <w:r>
        <w:rPr>
          <w:rFonts w:ascii="仿宋_GB2312" w:hAnsi="仿宋_GB2312" w:cs="仿宋_GB2312" w:eastAsia="仿宋_GB2312"/>
        </w:rPr>
        <w:t>联系电话：029-88319689-8003/8005</w:t>
      </w:r>
    </w:p>
    <w:p>
      <w:pPr>
        <w:pStyle w:val="null3"/>
      </w:pPr>
      <w:r>
        <w:rPr>
          <w:rFonts w:ascii="仿宋_GB2312" w:hAnsi="仿宋_GB2312" w:cs="仿宋_GB2312" w:eastAsia="仿宋_GB2312"/>
        </w:rPr>
        <w:t>地址：西安市高新区旺座现代城C座2503室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医用织物洗涤服务项目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5,328,000.00</w:t>
      </w:r>
    </w:p>
    <w:p>
      <w:pPr>
        <w:pStyle w:val="null3"/>
      </w:pPr>
      <w:r>
        <w:rPr>
          <w:rFonts w:ascii="仿宋_GB2312" w:hAnsi="仿宋_GB2312" w:cs="仿宋_GB2312" w:eastAsia="仿宋_GB2312"/>
        </w:rPr>
        <w:t>采购包最高限价（元）: 5,328,000.00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医用织物洗涤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5,328,000.00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标的名称：医用织物洗涤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4"/>
              </w:rPr>
              <w:t>服务内容</w:t>
            </w:r>
          </w:p>
          <w:p>
            <w:pPr>
              <w:pStyle w:val="null3"/>
              <w:spacing w:before="105" w:after="105"/>
              <w:ind w:firstLine="480"/>
              <w:jc w:val="left"/>
            </w:pPr>
            <w:r>
              <w:rPr>
                <w:rFonts w:ascii="仿宋_GB2312" w:hAnsi="仿宋_GB2312" w:cs="仿宋_GB2312" w:eastAsia="仿宋_GB2312"/>
                <w:sz w:val="24"/>
              </w:rPr>
              <w:t>陕西省人民医院（含主院区及西咸院区）职工工作衣裤、床单元、患者床单元、病员衣裤、手术敷料、隔帘、座椅套等所有布草及床垫的收取、分拣、运送、洗涤、缝补、熨烫、折叠、分发等服务。院内开放床位总数</w:t>
            </w:r>
            <w:r>
              <w:rPr>
                <w:rFonts w:ascii="仿宋_GB2312" w:hAnsi="仿宋_GB2312" w:cs="仿宋_GB2312" w:eastAsia="仿宋_GB2312"/>
                <w:sz w:val="24"/>
              </w:rPr>
              <w:t>3500张。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after="105"/>
              <w:jc w:val="both"/>
            </w:pPr>
            <w:r>
              <w:rPr>
                <w:rFonts w:ascii="仿宋_GB2312" w:hAnsi="仿宋_GB2312" w:cs="仿宋_GB2312" w:eastAsia="仿宋_GB2312"/>
                <w:sz w:val="24"/>
              </w:rPr>
              <w:t>最高限价及结算要求</w:t>
            </w:r>
          </w:p>
          <w:p>
            <w:pPr>
              <w:pStyle w:val="null3"/>
              <w:spacing w:before="105" w:after="105"/>
              <w:ind w:firstLine="480"/>
              <w:jc w:val="both"/>
            </w:pPr>
            <w:r>
              <w:rPr>
                <w:rFonts w:ascii="仿宋_GB2312" w:hAnsi="仿宋_GB2312" w:cs="仿宋_GB2312" w:eastAsia="仿宋_GB2312"/>
                <w:sz w:val="24"/>
              </w:rPr>
              <w:t>1.最高单价限价：4.17元/床/日。</w:t>
            </w:r>
          </w:p>
          <w:p>
            <w:pPr>
              <w:pStyle w:val="null3"/>
              <w:spacing w:before="105" w:after="105"/>
              <w:ind w:firstLine="480"/>
              <w:jc w:val="both"/>
            </w:pPr>
            <w:r>
              <w:rPr>
                <w:rFonts w:ascii="仿宋_GB2312" w:hAnsi="仿宋_GB2312" w:cs="仿宋_GB2312" w:eastAsia="仿宋_GB2312"/>
                <w:sz w:val="24"/>
              </w:rPr>
              <w:t>2.根据服务考核结果及每日医院统计的住院率按月累计据实结算，每日服务费用=单价*3500*住院率，最终年度结算价格不超过采购预算532.8万元，超出部分甲方不予结算，但乙方应继续为甲方提供洗涤服务直至本合同季结束。</w:t>
            </w:r>
          </w:p>
          <w:p>
            <w:pPr>
              <w:pStyle w:val="null3"/>
              <w:spacing w:before="105" w:after="105"/>
              <w:ind w:firstLine="480"/>
              <w:jc w:val="both"/>
            </w:pPr>
            <w:r>
              <w:rPr>
                <w:rFonts w:ascii="仿宋_GB2312" w:hAnsi="仿宋_GB2312" w:cs="仿宋_GB2312" w:eastAsia="仿宋_GB2312"/>
                <w:sz w:val="24"/>
              </w:rPr>
              <w:t>3.付款前，按照采购人数据中心每月出具的住院患者日报表（主院区与西咸院区分开统计）计算月洗涤服务费，由投标人向采购人开具与结算金额一致的全额发票（主院区与西咸院区分开开具），否则，甲方有权拒绝付款，且无须承担任何责任，投标人不得以此为由拒绝履行合同义务。</w:t>
            </w:r>
          </w:p>
          <w:p>
            <w:pPr>
              <w:pStyle w:val="null3"/>
              <w:spacing w:before="105" w:after="105"/>
              <w:ind w:firstLine="480"/>
              <w:jc w:val="both"/>
            </w:pPr>
            <w:r>
              <w:rPr>
                <w:rFonts w:ascii="仿宋_GB2312" w:hAnsi="仿宋_GB2312" w:cs="仿宋_GB2312" w:eastAsia="仿宋_GB2312"/>
                <w:sz w:val="24"/>
              </w:rPr>
              <w:t>4.每月据实结算上月（以自然月为准）洗涤服务费。</w:t>
            </w:r>
          </w:p>
          <w:p>
            <w:pPr>
              <w:pStyle w:val="null3"/>
              <w:spacing w:before="105" w:after="105"/>
              <w:ind w:firstLine="420"/>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服务标准及要求</w:t>
            </w:r>
          </w:p>
          <w:p>
            <w:pPr>
              <w:pStyle w:val="null3"/>
              <w:spacing w:before="105" w:after="105"/>
              <w:ind w:firstLine="480"/>
              <w:jc w:val="left"/>
            </w:pPr>
            <w:r>
              <w:rPr>
                <w:rFonts w:ascii="仿宋_GB2312" w:hAnsi="仿宋_GB2312" w:cs="仿宋_GB2312" w:eastAsia="仿宋_GB2312"/>
                <w:sz w:val="24"/>
              </w:rPr>
              <w:t>洗涤作业区域污染区及清洁区有完全隔离屏障，人流、物流、空气流不交叉不逆行，应符合布草洗涤规范对洗涤作业场地、空间、空气的要求，保证所提供的洗涤、熨烫、消毒等服务均按国内通行的现行标准和相应的技术规范执行，这些标准和技术规范为合同签订日为止最新公布发行的标准和技术规范。供应商应有稳定高效的全套专业洗涤设备，根据医院布草物品的特点，选择《中华人民共和国卫生行业标准》</w:t>
            </w:r>
            <w:r>
              <w:rPr>
                <w:rFonts w:ascii="仿宋_GB2312" w:hAnsi="仿宋_GB2312" w:cs="仿宋_GB2312" w:eastAsia="仿宋_GB2312"/>
                <w:sz w:val="24"/>
              </w:rPr>
              <w:t>WS/T508——2025《医疗机构医用织物洗涤消毒技术标准》中或国家最新规范相关规定中医疗机构医用织物洗涤消毒标准，科学安排洗涤工序，保证洗涤质量，医院有权对供应商所洗布草物品和洗涤场所进行抽查和检验，并要求洗涤公司及时整改。如出现应洗清而实际未洗清物品，医院有权按此物品洗涤价格予以罚款。医院布草物品的折叠应按医院要求规范折叠，并保证洁净度。所有洗涤物品必须封装完好送回医院指定位置。</w:t>
            </w:r>
          </w:p>
          <w:p>
            <w:pPr>
              <w:pStyle w:val="null3"/>
              <w:spacing w:before="105" w:after="105"/>
              <w:ind w:firstLine="480"/>
              <w:jc w:val="left"/>
            </w:pPr>
            <w:r>
              <w:rPr>
                <w:rFonts w:ascii="仿宋_GB2312" w:hAnsi="仿宋_GB2312" w:cs="仿宋_GB2312" w:eastAsia="仿宋_GB2312"/>
                <w:sz w:val="24"/>
              </w:rPr>
              <w:t>供应商提供的服务符合</w:t>
            </w:r>
            <w:r>
              <w:rPr>
                <w:rFonts w:ascii="仿宋_GB2312" w:hAnsi="仿宋_GB2312" w:cs="仿宋_GB2312" w:eastAsia="仿宋_GB2312"/>
                <w:sz w:val="24"/>
              </w:rPr>
              <w:t>WS/T508——2025《医疗机构医用织物洗涤消毒技术标准》或国家最新规范相关规定为准，确保服务质量合格。供应商对提供的服务质量、安全、环保等负全权责任。</w:t>
            </w:r>
          </w:p>
          <w:p>
            <w:pPr>
              <w:pStyle w:val="null3"/>
              <w:spacing w:before="105" w:after="105"/>
              <w:ind w:firstLine="480"/>
              <w:jc w:val="left"/>
            </w:pPr>
            <w:r>
              <w:rPr>
                <w:rFonts w:ascii="仿宋_GB2312" w:hAnsi="仿宋_GB2312" w:cs="仿宋_GB2312" w:eastAsia="仿宋_GB2312"/>
                <w:sz w:val="24"/>
              </w:rPr>
              <w:t>洗涤剂为经检测合格的无磷专用产品；根据布料质地，污染程度，污染性质的不同，选择合适的洗涤流程及洗涤方法。</w:t>
            </w:r>
          </w:p>
          <w:p>
            <w:pPr>
              <w:pStyle w:val="null3"/>
              <w:spacing w:before="105" w:after="105"/>
              <w:ind w:firstLine="480"/>
              <w:jc w:val="left"/>
            </w:pPr>
            <w:r>
              <w:rPr>
                <w:rFonts w:ascii="仿宋_GB2312" w:hAnsi="仿宋_GB2312" w:cs="仿宋_GB2312" w:eastAsia="仿宋_GB2312"/>
                <w:sz w:val="24"/>
              </w:rPr>
              <w:t>投标人每月应提供一份工作衣、职工被服、病员服及病员被服第三方检测且达标的检测报告。</w:t>
            </w:r>
          </w:p>
          <w:p>
            <w:pPr>
              <w:pStyle w:val="null3"/>
              <w:spacing w:before="105" w:after="105"/>
              <w:ind w:firstLine="480"/>
              <w:jc w:val="left"/>
            </w:pPr>
            <w:r>
              <w:rPr>
                <w:rFonts w:ascii="仿宋_GB2312" w:hAnsi="仿宋_GB2312" w:cs="仿宋_GB2312" w:eastAsia="仿宋_GB2312"/>
                <w:sz w:val="24"/>
              </w:rPr>
              <w:t>清洁织物应外观无明显污渍、整洁、干燥、无异味、无破损，分类折叠；工作衣应熨烫平整，且独立包装。</w:t>
            </w:r>
          </w:p>
          <w:p>
            <w:pPr>
              <w:pStyle w:val="null3"/>
              <w:spacing w:before="105" w:after="105"/>
              <w:ind w:firstLine="480"/>
              <w:jc w:val="left"/>
            </w:pPr>
            <w:r>
              <w:rPr>
                <w:rFonts w:ascii="仿宋_GB2312" w:hAnsi="仿宋_GB2312" w:cs="仿宋_GB2312" w:eastAsia="仿宋_GB2312"/>
                <w:sz w:val="24"/>
              </w:rPr>
              <w:t>感染性织物与非感染性织物应分开独立包装，分机洗涤，并由投标人免费提供水溶性包装袋。</w:t>
            </w:r>
          </w:p>
          <w:p>
            <w:pPr>
              <w:pStyle w:val="null3"/>
              <w:spacing w:before="105" w:after="105"/>
              <w:ind w:firstLine="480"/>
              <w:jc w:val="left"/>
            </w:pPr>
            <w:r>
              <w:rPr>
                <w:rFonts w:ascii="仿宋_GB2312" w:hAnsi="仿宋_GB2312" w:cs="仿宋_GB2312" w:eastAsia="仿宋_GB2312"/>
                <w:sz w:val="24"/>
              </w:rPr>
              <w:t>新生儿、婴儿医用织物应做到专机洗涤，需使用专用的婴幼儿专用剂，不可与其它医用织物混洗，单独分类包装，做好标识，做交接手续。</w:t>
            </w:r>
          </w:p>
          <w:p>
            <w:pPr>
              <w:pStyle w:val="null3"/>
              <w:spacing w:before="105" w:after="105"/>
              <w:ind w:firstLine="480"/>
              <w:jc w:val="left"/>
            </w:pPr>
            <w:r>
              <w:rPr>
                <w:rFonts w:ascii="仿宋_GB2312" w:hAnsi="仿宋_GB2312" w:cs="仿宋_GB2312" w:eastAsia="仿宋_GB2312"/>
                <w:sz w:val="24"/>
              </w:rPr>
              <w:t>职工工作衣裤等医用织物应做到专机洗涤，不可与其它医用织物混洗，单独分类包装，做好标识，做交接手续。</w:t>
            </w:r>
          </w:p>
          <w:p>
            <w:pPr>
              <w:pStyle w:val="null3"/>
              <w:spacing w:before="105" w:after="105"/>
              <w:ind w:firstLine="480"/>
              <w:jc w:val="left"/>
            </w:pPr>
            <w:r>
              <w:rPr>
                <w:rFonts w:ascii="仿宋_GB2312" w:hAnsi="仿宋_GB2312" w:cs="仿宋_GB2312" w:eastAsia="仿宋_GB2312"/>
                <w:sz w:val="24"/>
              </w:rPr>
              <w:t>特殊被服应独立打包，做好标识，做好交接手续，制定好防护措施。</w:t>
            </w:r>
          </w:p>
          <w:p>
            <w:pPr>
              <w:pStyle w:val="null3"/>
              <w:spacing w:before="105" w:after="105"/>
              <w:ind w:firstLine="480"/>
              <w:jc w:val="left"/>
            </w:pPr>
            <w:r>
              <w:rPr>
                <w:rFonts w:ascii="仿宋_GB2312" w:hAnsi="仿宋_GB2312" w:cs="仿宋_GB2312" w:eastAsia="仿宋_GB2312"/>
                <w:sz w:val="24"/>
              </w:rPr>
              <w:t>敷料折叠应提前与使用部门对接，折叠尺寸按照医院惯例执行。</w:t>
            </w:r>
          </w:p>
          <w:p>
            <w:pPr>
              <w:pStyle w:val="null3"/>
              <w:spacing w:before="105" w:after="105"/>
              <w:ind w:firstLine="480"/>
              <w:jc w:val="left"/>
            </w:pPr>
            <w:r>
              <w:rPr>
                <w:rFonts w:ascii="仿宋_GB2312" w:hAnsi="仿宋_GB2312" w:cs="仿宋_GB2312" w:eastAsia="仿宋_GB2312"/>
                <w:sz w:val="24"/>
              </w:rPr>
              <w:t>破损织物应单独分类包装，做好标识，做交接手续。</w:t>
            </w:r>
          </w:p>
          <w:p>
            <w:pPr>
              <w:pStyle w:val="null3"/>
              <w:spacing w:before="105" w:after="105"/>
              <w:ind w:firstLine="480"/>
              <w:jc w:val="left"/>
            </w:pPr>
            <w:r>
              <w:rPr>
                <w:rFonts w:ascii="仿宋_GB2312" w:hAnsi="仿宋_GB2312" w:cs="仿宋_GB2312" w:eastAsia="仿宋_GB2312"/>
                <w:sz w:val="24"/>
              </w:rPr>
              <w:t>接受采购人感染管理部门对投标人的生物污染风险评估，对存在问题实施整改。</w:t>
            </w:r>
          </w:p>
          <w:p>
            <w:pPr>
              <w:pStyle w:val="null3"/>
              <w:spacing w:before="105" w:after="105"/>
              <w:ind w:firstLine="480"/>
              <w:jc w:val="left"/>
            </w:pPr>
            <w:r>
              <w:rPr>
                <w:rFonts w:ascii="仿宋_GB2312" w:hAnsi="仿宋_GB2312" w:cs="仿宋_GB2312" w:eastAsia="仿宋_GB2312"/>
                <w:sz w:val="24"/>
              </w:rPr>
              <w:t>随时接受采购人和卫生监管部门的检查、监督、指导，对存在的问题在规定期限内整改到位。</w:t>
            </w:r>
          </w:p>
          <w:p>
            <w:pPr>
              <w:pStyle w:val="null3"/>
              <w:spacing w:before="105" w:after="105"/>
              <w:ind w:firstLine="480"/>
              <w:jc w:val="left"/>
            </w:pPr>
            <w:r>
              <w:rPr>
                <w:rFonts w:ascii="仿宋_GB2312" w:hAnsi="仿宋_GB2312" w:cs="仿宋_GB2312" w:eastAsia="仿宋_GB2312"/>
                <w:sz w:val="24"/>
              </w:rPr>
              <w:t>服务周期内发生的织物破损、丢失，投标人无法有效证明破损、丢失为采购人使用不当或管理不善造成的，相应损失由投标人自行承担。确因采购人原因导致织物破损、丢失造成的损失的，由采购人承担。无论责任是否界定清楚，投标人均应先行更换或补充，更换补充时间在一周内完成以确保采购人使用不受影响。</w:t>
            </w:r>
          </w:p>
          <w:p>
            <w:pPr>
              <w:pStyle w:val="null3"/>
              <w:spacing w:before="105" w:after="105"/>
              <w:ind w:firstLine="480"/>
              <w:jc w:val="left"/>
            </w:pPr>
            <w:r>
              <w:rPr>
                <w:rFonts w:ascii="仿宋_GB2312" w:hAnsi="仿宋_GB2312" w:cs="仿宋_GB2312" w:eastAsia="仿宋_GB2312"/>
                <w:sz w:val="24"/>
              </w:rPr>
              <w:t>合同期间，投标人按照国家要求标准，负责为采购人定期清运，处理报废的布草类废品。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配送要求</w:t>
            </w:r>
          </w:p>
          <w:p>
            <w:pPr>
              <w:pStyle w:val="null3"/>
              <w:spacing w:before="105" w:after="105"/>
              <w:ind w:firstLine="480"/>
              <w:jc w:val="left"/>
            </w:pPr>
            <w:r>
              <w:rPr>
                <w:rFonts w:ascii="仿宋_GB2312" w:hAnsi="仿宋_GB2312" w:cs="仿宋_GB2312" w:eastAsia="仿宋_GB2312"/>
                <w:sz w:val="24"/>
              </w:rPr>
              <w:t>1.病床单元织物及病员衣裤：每日8：00和15：00时配送至少两次；</w:t>
            </w:r>
          </w:p>
          <w:p>
            <w:pPr>
              <w:pStyle w:val="null3"/>
              <w:spacing w:before="105" w:after="105"/>
              <w:ind w:firstLine="480"/>
              <w:jc w:val="left"/>
            </w:pPr>
            <w:r>
              <w:rPr>
                <w:rFonts w:ascii="仿宋_GB2312" w:hAnsi="仿宋_GB2312" w:cs="仿宋_GB2312" w:eastAsia="仿宋_GB2312"/>
                <w:sz w:val="24"/>
              </w:rPr>
              <w:t>2.手术敷料：每日</w:t>
            </w:r>
            <w:r>
              <w:rPr>
                <w:rFonts w:ascii="仿宋_GB2312" w:hAnsi="仿宋_GB2312" w:cs="仿宋_GB2312" w:eastAsia="仿宋_GB2312"/>
                <w:sz w:val="24"/>
              </w:rPr>
              <w:t xml:space="preserve"> </w:t>
            </w:r>
            <w:r>
              <w:rPr>
                <w:rFonts w:ascii="仿宋_GB2312" w:hAnsi="仿宋_GB2312" w:cs="仿宋_GB2312" w:eastAsia="仿宋_GB2312"/>
                <w:sz w:val="24"/>
              </w:rPr>
              <w:t>8：00、14：00、20：00 时配送至少三次</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3.工作衣、职工用床品：按楼宇每周至少收送一次，并在布草周转库安排值班人员随时更换职工床品（晚22时前）；</w:t>
            </w:r>
          </w:p>
          <w:p>
            <w:pPr>
              <w:pStyle w:val="null3"/>
              <w:spacing w:before="105" w:after="105"/>
              <w:ind w:firstLine="480"/>
              <w:jc w:val="left"/>
            </w:pPr>
            <w:r>
              <w:rPr>
                <w:rFonts w:ascii="仿宋_GB2312" w:hAnsi="仿宋_GB2312" w:cs="仿宋_GB2312" w:eastAsia="仿宋_GB2312"/>
                <w:sz w:val="24"/>
              </w:rPr>
              <w:t>4.围帘等其它织物做到清洗后及时配送；</w:t>
            </w:r>
          </w:p>
          <w:p>
            <w:pPr>
              <w:pStyle w:val="null3"/>
              <w:spacing w:before="105" w:after="105"/>
              <w:ind w:firstLine="480"/>
              <w:jc w:val="left"/>
            </w:pPr>
            <w:r>
              <w:rPr>
                <w:rFonts w:ascii="仿宋_GB2312" w:hAnsi="仿宋_GB2312" w:cs="仿宋_GB2312" w:eastAsia="仿宋_GB2312"/>
                <w:sz w:val="24"/>
              </w:rPr>
              <w:t>5.对于院方应急性需求，应在1小时内满足；</w:t>
            </w:r>
          </w:p>
          <w:p>
            <w:pPr>
              <w:pStyle w:val="null3"/>
              <w:spacing w:before="105" w:after="105"/>
              <w:ind w:firstLine="480"/>
              <w:jc w:val="left"/>
            </w:pPr>
            <w:r>
              <w:rPr>
                <w:rFonts w:ascii="仿宋_GB2312" w:hAnsi="仿宋_GB2312" w:cs="仿宋_GB2312" w:eastAsia="仿宋_GB2312"/>
                <w:sz w:val="24"/>
              </w:rPr>
              <w:t>6.如遇采购人对配送或收取时间、频次进行调整，投标人应无条件执行。</w:t>
            </w:r>
          </w:p>
          <w:p>
            <w:pPr>
              <w:pStyle w:val="null3"/>
              <w:spacing w:before="105" w:after="105"/>
              <w:ind w:firstLine="480"/>
              <w:jc w:val="left"/>
            </w:pPr>
            <w:r>
              <w:rPr>
                <w:rFonts w:ascii="仿宋_GB2312" w:hAnsi="仿宋_GB2312" w:cs="仿宋_GB2312" w:eastAsia="仿宋_GB2312"/>
                <w:sz w:val="24"/>
              </w:rPr>
              <w:t>7.投标人应合理规划配送线路，配备运输车辆。如遇车辆限行、交通事故、车辆故障等问题，由投标人启动应急措施，确保按时配送到位，投标人不得以任何理由拖延、取消配送。</w:t>
            </w:r>
          </w:p>
          <w:p>
            <w:pPr>
              <w:pStyle w:val="null3"/>
              <w:spacing w:before="105" w:after="105"/>
              <w:ind w:firstLine="480"/>
              <w:jc w:val="left"/>
            </w:pPr>
            <w:r>
              <w:rPr>
                <w:rFonts w:ascii="仿宋_GB2312" w:hAnsi="仿宋_GB2312" w:cs="仿宋_GB2312" w:eastAsia="仿宋_GB2312"/>
                <w:sz w:val="24"/>
              </w:rPr>
              <w:t>8.供应商应有专用车辆，车辆要求洁污分开，车牌号固定；车辆需按照院内指定路线通行，工作；车辆维修保养须自行解决，洗涤物品的运输工具由供应商自行提供，我院仅负责给供应商车辆办理出入证。</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其他要求</w:t>
            </w:r>
          </w:p>
          <w:p>
            <w:pPr>
              <w:pStyle w:val="null3"/>
              <w:spacing w:before="105" w:after="105"/>
              <w:ind w:firstLine="480"/>
              <w:jc w:val="left"/>
            </w:pPr>
            <w:r>
              <w:rPr>
                <w:rFonts w:ascii="仿宋_GB2312" w:hAnsi="仿宋_GB2312" w:cs="仿宋_GB2312" w:eastAsia="仿宋_GB2312"/>
                <w:sz w:val="24"/>
              </w:rPr>
              <w:t>一、乙方免费使用甲方位于锅炉房一楼用于布草周转的库房，合同到期时应以适用状态归还甲方。乙方因工作需要，可自行配备不可移动的资产，但不得对房屋结构进行更改；乙方配备的可移动资产，合同到期后，经甲方确认，</w:t>
            </w:r>
            <w:r>
              <w:rPr>
                <w:rFonts w:ascii="仿宋_GB2312" w:hAnsi="仿宋_GB2312" w:cs="仿宋_GB2312" w:eastAsia="仿宋_GB2312"/>
                <w:sz w:val="24"/>
              </w:rPr>
              <w:t>2日内由乙方自行搬离，所需费用由乙方自行承担。乙方应妥善使用甲方提供的周转库及设备，签订《安全责任书》，履行安全责任。乙方使用的水费按照5.8元/吨、电费按照0.68元/度据实收取。乙方使用的甲方固定资产的维护、保养由乙方负责，并承担相关费用。</w:t>
            </w:r>
          </w:p>
          <w:p>
            <w:pPr>
              <w:pStyle w:val="null3"/>
              <w:spacing w:before="105" w:after="105"/>
              <w:ind w:firstLine="480"/>
              <w:jc w:val="left"/>
            </w:pPr>
            <w:r>
              <w:rPr>
                <w:rFonts w:ascii="仿宋_GB2312" w:hAnsi="仿宋_GB2312" w:cs="仿宋_GB2312" w:eastAsia="仿宋_GB2312"/>
                <w:sz w:val="24"/>
              </w:rPr>
              <w:t>二、乙方应妥善安排原院方洗衣房员工</w:t>
            </w:r>
            <w:r>
              <w:rPr>
                <w:rFonts w:ascii="仿宋_GB2312" w:hAnsi="仿宋_GB2312" w:cs="仿宋_GB2312" w:eastAsia="仿宋_GB2312"/>
                <w:sz w:val="24"/>
              </w:rPr>
              <w:t>6人就职(根据个人意愿)，签订劳动合同，并办理社会统筹保险缴纳手续，其工资原则上不低于乙方员工平均工资水平。</w:t>
            </w:r>
          </w:p>
          <w:p>
            <w:pPr>
              <w:pStyle w:val="null3"/>
              <w:spacing w:before="105" w:after="105"/>
              <w:ind w:firstLine="480"/>
              <w:jc w:val="left"/>
            </w:pPr>
            <w:r>
              <w:rPr>
                <w:rFonts w:ascii="仿宋_GB2312" w:hAnsi="仿宋_GB2312" w:cs="仿宋_GB2312" w:eastAsia="仿宋_GB2312"/>
                <w:sz w:val="24"/>
              </w:rPr>
              <w:t>三、甲方固定资产的交还：</w:t>
            </w:r>
          </w:p>
          <w:p>
            <w:pPr>
              <w:pStyle w:val="null3"/>
              <w:spacing w:before="105" w:after="105"/>
              <w:ind w:firstLine="480"/>
              <w:jc w:val="left"/>
            </w:pPr>
            <w:r>
              <w:rPr>
                <w:rFonts w:ascii="仿宋_GB2312" w:hAnsi="仿宋_GB2312" w:cs="仿宋_GB2312" w:eastAsia="仿宋_GB2312"/>
                <w:sz w:val="24"/>
              </w:rPr>
              <w:t>1.乙方使用、保管的甲方固定资产合同到期时应以适用状态交还甲方，否则，甲方有权在洗涤费中扣除维修费用。</w:t>
            </w:r>
          </w:p>
          <w:p>
            <w:pPr>
              <w:pStyle w:val="null3"/>
              <w:spacing w:before="105" w:after="105"/>
              <w:ind w:firstLine="480"/>
              <w:jc w:val="left"/>
            </w:pPr>
            <w:r>
              <w:rPr>
                <w:rFonts w:ascii="仿宋_GB2312" w:hAnsi="仿宋_GB2312" w:cs="仿宋_GB2312" w:eastAsia="仿宋_GB2312"/>
                <w:sz w:val="24"/>
              </w:rPr>
              <w:t>2.未满足报废要求的布草赔偿金约定：</w:t>
            </w:r>
          </w:p>
          <w:p>
            <w:pPr>
              <w:pStyle w:val="null3"/>
              <w:spacing w:before="105" w:after="105"/>
              <w:ind w:firstLine="480"/>
              <w:jc w:val="left"/>
            </w:pPr>
            <w:r>
              <w:rPr>
                <w:rFonts w:ascii="仿宋_GB2312" w:hAnsi="仿宋_GB2312" w:cs="仿宋_GB2312" w:eastAsia="仿宋_GB2312"/>
                <w:sz w:val="24"/>
              </w:rPr>
              <w:t>1）按照甲方洗涤统计数据，乙方在布草报废时应同时满足以下两个要求。</w:t>
            </w:r>
          </w:p>
          <w:tbl>
            <w:tblPr>
              <w:tblBorders>
                <w:top w:val="none" w:color="000000" w:sz="4"/>
                <w:left w:val="none" w:color="000000" w:sz="4"/>
                <w:bottom w:val="none" w:color="000000" w:sz="4"/>
                <w:right w:val="none" w:color="000000" w:sz="4"/>
                <w:insideH w:val="none"/>
                <w:insideV w:val="none"/>
              </w:tblBorders>
            </w:tblPr>
            <w:tblGrid>
              <w:gridCol w:w="791"/>
              <w:gridCol w:w="732"/>
              <w:gridCol w:w="1029"/>
            </w:tblGrid>
            <w:tr>
              <w:tc>
                <w:tcPr>
                  <w:tcW w:type="dxa" w:w="791"/>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品名</w:t>
                  </w:r>
                </w:p>
              </w:tc>
              <w:tc>
                <w:tcPr>
                  <w:tcW w:type="dxa" w:w="176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要</w:t>
                  </w:r>
                  <w:r>
                    <w:rPr>
                      <w:rFonts w:ascii="仿宋_GB2312" w:hAnsi="仿宋_GB2312" w:cs="仿宋_GB2312" w:eastAsia="仿宋_GB2312"/>
                      <w:sz w:val="24"/>
                    </w:rPr>
                    <w:t xml:space="preserve">   </w:t>
                  </w:r>
                  <w:r>
                    <w:rPr>
                      <w:rFonts w:ascii="仿宋_GB2312" w:hAnsi="仿宋_GB2312" w:cs="仿宋_GB2312" w:eastAsia="仿宋_GB2312"/>
                      <w:sz w:val="24"/>
                    </w:rPr>
                    <w:t>求</w:t>
                  </w:r>
                </w:p>
              </w:tc>
            </w:tr>
            <w:tr>
              <w:tc>
                <w:tcPr>
                  <w:tcW w:type="dxa" w:w="791"/>
                  <w:vMerge/>
                  <w:tcBorders>
                    <w:top w:val="single" w:color="000000" w:sz="4"/>
                    <w:left w:val="single" w:color="000000" w:sz="4"/>
                    <w:bottom w:val="none" w:color="000000" w:sz="4"/>
                    <w:right w:val="single" w:color="000000" w:sz="4"/>
                  </w:tcBorders>
                </w:tcP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报废率</w:t>
                  </w:r>
                </w:p>
              </w:tc>
              <w:tc>
                <w:tcPr>
                  <w:tcW w:type="dxa" w:w="10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布草使用时长</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床单</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≤1.52%</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≥12个月</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被套</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≤1.17%</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≥12个月</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枕套</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≤2.8%</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≥12个月</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褥套</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≤1.17%</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≥12个月</w:t>
                  </w:r>
                </w:p>
              </w:tc>
            </w:tr>
            <w:tr>
              <w:tc>
                <w:tcPr>
                  <w:tcW w:type="dxa" w:w="7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病员衣裤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≤1.85%</w:t>
                  </w: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≥12个月</w:t>
                  </w:r>
                </w:p>
              </w:tc>
            </w:tr>
          </w:tbl>
          <w:p>
            <w:pPr>
              <w:pStyle w:val="null3"/>
              <w:spacing w:before="105" w:after="105"/>
              <w:ind w:firstLine="480"/>
              <w:jc w:val="left"/>
            </w:pPr>
            <w:r>
              <w:rPr>
                <w:rFonts w:ascii="仿宋_GB2312" w:hAnsi="仿宋_GB2312" w:cs="仿宋_GB2312" w:eastAsia="仿宋_GB2312"/>
                <w:sz w:val="24"/>
              </w:rPr>
              <w:t>重污织物经特殊处理，每日收取经双方交接确认数量后不纳入报废率考核。</w:t>
            </w:r>
          </w:p>
          <w:p>
            <w:pPr>
              <w:pStyle w:val="null3"/>
              <w:spacing w:before="105" w:after="105"/>
              <w:ind w:firstLine="480"/>
              <w:jc w:val="left"/>
            </w:pPr>
            <w:r>
              <w:rPr>
                <w:rFonts w:ascii="仿宋_GB2312" w:hAnsi="仿宋_GB2312" w:cs="仿宋_GB2312" w:eastAsia="仿宋_GB2312"/>
                <w:sz w:val="24"/>
              </w:rPr>
              <w:t>2）报废率或使用时长不满足上述要求的，按超出或不足部分照价赔偿。布草投入时间和清洗次数以布草上缝制标签或录入数据为准。</w:t>
            </w:r>
          </w:p>
          <w:p>
            <w:pPr>
              <w:pStyle w:val="null3"/>
              <w:spacing w:before="105" w:after="105"/>
              <w:ind w:firstLine="480"/>
              <w:jc w:val="left"/>
            </w:pPr>
            <w:r>
              <w:rPr>
                <w:rFonts w:ascii="仿宋_GB2312" w:hAnsi="仿宋_GB2312" w:cs="仿宋_GB2312" w:eastAsia="仿宋_GB2312"/>
                <w:sz w:val="24"/>
              </w:rPr>
              <w:t>3）报废未满足以上两个要求的布草赔偿金计算方法。</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1）报废率大于上述要求的赔偿额计算办法：</w:t>
            </w:r>
          </w:p>
          <w:p>
            <w:pPr>
              <w:pStyle w:val="null3"/>
              <w:spacing w:before="105" w:after="105"/>
              <w:ind w:firstLine="480"/>
              <w:jc w:val="left"/>
            </w:pPr>
            <w:r>
              <w:rPr>
                <w:rFonts w:ascii="仿宋_GB2312" w:hAnsi="仿宋_GB2312" w:cs="仿宋_GB2312" w:eastAsia="仿宋_GB2312"/>
                <w:sz w:val="24"/>
              </w:rPr>
              <w:t>报废率按月计算</w:t>
            </w:r>
          </w:p>
          <w:p>
            <w:pPr>
              <w:pStyle w:val="null3"/>
              <w:spacing w:before="105" w:after="105"/>
              <w:ind w:firstLine="480"/>
              <w:jc w:val="left"/>
            </w:pPr>
            <w:r>
              <w:rPr>
                <w:rFonts w:ascii="仿宋_GB2312" w:hAnsi="仿宋_GB2312" w:cs="仿宋_GB2312" w:eastAsia="仿宋_GB2312"/>
                <w:sz w:val="24"/>
              </w:rPr>
              <w:t>报废率</w:t>
            </w:r>
            <w:r>
              <w:rPr>
                <w:rFonts w:ascii="仿宋_GB2312" w:hAnsi="仿宋_GB2312" w:cs="仿宋_GB2312" w:eastAsia="仿宋_GB2312"/>
                <w:sz w:val="24"/>
              </w:rPr>
              <w:t>=本月单品报废数量/本月单品洗涤数量</w:t>
            </w:r>
          </w:p>
          <w:p>
            <w:pPr>
              <w:pStyle w:val="null3"/>
              <w:spacing w:before="105" w:after="105"/>
              <w:ind w:firstLine="480"/>
              <w:jc w:val="left"/>
            </w:pPr>
            <w:r>
              <w:rPr>
                <w:rFonts w:ascii="仿宋_GB2312" w:hAnsi="仿宋_GB2312" w:cs="仿宋_GB2312" w:eastAsia="仿宋_GB2312"/>
                <w:sz w:val="24"/>
              </w:rPr>
              <w:t>赔偿金额</w:t>
            </w:r>
            <w:r>
              <w:rPr>
                <w:rFonts w:ascii="仿宋_GB2312" w:hAnsi="仿宋_GB2312" w:cs="仿宋_GB2312" w:eastAsia="仿宋_GB2312"/>
                <w:sz w:val="24"/>
              </w:rPr>
              <w:t>=（实际报废率-单品报废率要求）×本月单品洗涤数量×布草采购单价</w:t>
            </w:r>
          </w:p>
          <w:p>
            <w:pPr>
              <w:pStyle w:val="null3"/>
              <w:spacing w:before="105" w:after="105"/>
              <w:ind w:firstLine="480"/>
              <w:jc w:val="left"/>
            </w:pPr>
            <w:r>
              <w:rPr>
                <w:rFonts w:ascii="仿宋_GB2312" w:hAnsi="仿宋_GB2312" w:cs="仿宋_GB2312" w:eastAsia="仿宋_GB2312"/>
                <w:sz w:val="24"/>
              </w:rPr>
              <w:t>赔偿总金额</w:t>
            </w:r>
            <w:r>
              <w:rPr>
                <w:rFonts w:ascii="仿宋_GB2312" w:hAnsi="仿宋_GB2312" w:cs="仿宋_GB2312" w:eastAsia="仿宋_GB2312"/>
                <w:sz w:val="24"/>
              </w:rPr>
              <w:t>=各单品赔偿金额之和。按月从洗涤费中直接扣除。</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2）布草使用时长不足12个月的赔偿标准  </w:t>
            </w:r>
          </w:p>
          <w:tbl>
            <w:tblPr>
              <w:tblBorders>
                <w:top w:val="none" w:color="000000" w:sz="4"/>
                <w:left w:val="none" w:color="000000" w:sz="4"/>
                <w:bottom w:val="none" w:color="000000" w:sz="4"/>
                <w:right w:val="none" w:color="000000" w:sz="4"/>
                <w:insideH w:val="none"/>
                <w:insideV w:val="none"/>
              </w:tblBorders>
            </w:tblPr>
            <w:tblGrid>
              <w:gridCol w:w="1137"/>
              <w:gridCol w:w="1415"/>
            </w:tblGrid>
            <w:tr>
              <w:tc>
                <w:tcPr>
                  <w:tcW w:type="dxa" w:w="113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品</w:t>
                  </w:r>
                  <w:r>
                    <w:rPr>
                      <w:rFonts w:ascii="仿宋_GB2312" w:hAnsi="仿宋_GB2312" w:cs="仿宋_GB2312" w:eastAsia="仿宋_GB2312"/>
                      <w:sz w:val="24"/>
                    </w:rPr>
                    <w:t xml:space="preserve">   </w:t>
                  </w:r>
                  <w:r>
                    <w:rPr>
                      <w:rFonts w:ascii="仿宋_GB2312" w:hAnsi="仿宋_GB2312" w:cs="仿宋_GB2312" w:eastAsia="仿宋_GB2312"/>
                      <w:sz w:val="24"/>
                    </w:rPr>
                    <w:t>名</w:t>
                  </w:r>
                </w:p>
              </w:tc>
              <w:tc>
                <w:tcPr>
                  <w:tcW w:type="dxa" w:w="14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床单、被套、枕套、褥套、病员衣裤</w:t>
                  </w:r>
                </w:p>
              </w:tc>
            </w:tr>
            <w:tr>
              <w:tc>
                <w:tcPr>
                  <w:tcW w:type="dxa" w:w="1137"/>
                  <w:vMerge/>
                  <w:tcBorders>
                    <w:top w:val="single" w:color="000000" w:sz="4"/>
                    <w:left w:val="single" w:color="000000" w:sz="4"/>
                    <w:bottom w:val="single" w:color="000000" w:sz="4"/>
                    <w:right w:val="single" w:color="000000" w:sz="4"/>
                  </w:tcBorders>
                </w:tcPr>
                <w:p/>
              </w:tc>
              <w:tc>
                <w:tcPr>
                  <w:tcW w:type="dxa" w:w="1415"/>
                  <w:vMerge/>
                  <w:tcBorders>
                    <w:top w:val="single" w:color="000000" w:sz="4"/>
                    <w:left w:val="none" w:color="000000" w:sz="4"/>
                    <w:bottom w:val="single" w:color="000000" w:sz="4"/>
                    <w:right w:val="single" w:color="000000" w:sz="4"/>
                  </w:tcBorders>
                </w:tcPr>
                <w:p/>
              </w:tc>
            </w:tr>
            <w:tr>
              <w:tc>
                <w:tcPr>
                  <w:tcW w:type="dxa" w:w="11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right"/>
                  </w:pPr>
                  <w:r>
                    <w:rPr>
                      <w:rFonts w:ascii="仿宋_GB2312" w:hAnsi="仿宋_GB2312" w:cs="仿宋_GB2312" w:eastAsia="仿宋_GB2312"/>
                      <w:sz w:val="24"/>
                    </w:rPr>
                    <w:t>承诺寿命</w:t>
                  </w:r>
                </w:p>
                <w:p>
                  <w:pPr>
                    <w:pStyle w:val="null3"/>
                    <w:spacing w:before="105" w:after="105"/>
                    <w:jc w:val="both"/>
                  </w:pPr>
                  <w:r>
                    <w:rPr>
                      <w:rFonts w:ascii="仿宋_GB2312" w:hAnsi="仿宋_GB2312" w:cs="仿宋_GB2312" w:eastAsia="仿宋_GB2312"/>
                      <w:sz w:val="24"/>
                    </w:rPr>
                    <w:t>赔付方式</w:t>
                  </w:r>
                </w:p>
              </w:tc>
              <w:tc>
                <w:tcPr>
                  <w:tcW w:type="dxa" w:w="14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12个月</w:t>
                  </w:r>
                </w:p>
              </w:tc>
            </w:tr>
            <w:tr>
              <w:tc>
                <w:tcPr>
                  <w:tcW w:type="dxa" w:w="1137"/>
                  <w:vMerge/>
                  <w:tcBorders>
                    <w:top w:val="none" w:color="000000" w:sz="4"/>
                    <w:left w:val="single" w:color="000000" w:sz="4"/>
                    <w:bottom w:val="single" w:color="000000" w:sz="4"/>
                    <w:right w:val="single" w:color="000000" w:sz="4"/>
                  </w:tcBorders>
                </w:tcPr>
                <w:p/>
              </w:tc>
              <w:tc>
                <w:tcPr>
                  <w:tcW w:type="dxa" w:w="1415"/>
                  <w:vMerge/>
                  <w:tcBorders>
                    <w:top w:val="none" w:color="000000" w:sz="4"/>
                    <w:left w:val="none" w:color="000000" w:sz="4"/>
                    <w:bottom w:val="single" w:color="000000" w:sz="4"/>
                    <w:right w:val="single" w:color="000000" w:sz="4"/>
                  </w:tcBorders>
                </w:tcP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第一个季度内赔偿</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100%</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第二个季度内赔偿</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80%</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第三个季度内赔偿</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50%</w:t>
                  </w:r>
                </w:p>
              </w:tc>
            </w:tr>
            <w:tr>
              <w:tc>
                <w:tcPr>
                  <w:tcW w:type="dxa" w:w="1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第四个季度内赔偿</w:t>
                  </w:r>
                </w:p>
              </w:tc>
              <w:tc>
                <w:tcPr>
                  <w:tcW w:type="dxa" w:w="1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30%</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rPr>
                    <w:t>布草赔偿单价以甲方布草采购单价为标准</w:t>
                  </w:r>
                </w:p>
              </w:tc>
            </w:tr>
          </w:tbl>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3）由于人为原因故意拆除芯片或布草投入时间标签的，由乙方按照布草采购成本予以赔偿。</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4）甲方报废布草、床品等的处理：</w:t>
            </w:r>
          </w:p>
          <w:p>
            <w:pPr>
              <w:pStyle w:val="null3"/>
              <w:spacing w:before="105" w:after="105"/>
              <w:ind w:firstLine="480"/>
              <w:jc w:val="left"/>
            </w:pPr>
            <w:r>
              <w:rPr>
                <w:rFonts w:ascii="仿宋_GB2312" w:hAnsi="仿宋_GB2312" w:cs="仿宋_GB2312" w:eastAsia="仿宋_GB2312"/>
                <w:sz w:val="24"/>
              </w:rPr>
              <w:t>甲方报废的布草、床品等经甲乙双方确认后，由乙方免费清运至焚烧企业进行处理，承担相关费用及相关责任，并向甲方提供处理凭证。</w:t>
            </w:r>
          </w:p>
          <w:p>
            <w:pPr>
              <w:pStyle w:val="null3"/>
              <w:spacing w:before="105" w:after="105"/>
              <w:ind w:firstLine="480"/>
              <w:jc w:val="left"/>
            </w:pPr>
            <w:r>
              <w:rPr>
                <w:rFonts w:ascii="仿宋_GB2312" w:hAnsi="仿宋_GB2312" w:cs="仿宋_GB2312" w:eastAsia="仿宋_GB2312"/>
                <w:sz w:val="24"/>
              </w:rPr>
              <w:t>四、织物洁净度及白度要求：</w:t>
            </w:r>
          </w:p>
          <w:p>
            <w:pPr>
              <w:pStyle w:val="null3"/>
              <w:spacing w:before="105" w:after="105"/>
              <w:ind w:firstLine="480"/>
              <w:jc w:val="left"/>
            </w:pPr>
            <w:r>
              <w:rPr>
                <w:rFonts w:ascii="仿宋_GB2312" w:hAnsi="仿宋_GB2312" w:cs="仿宋_GB2312" w:eastAsia="仿宋_GB2312"/>
                <w:sz w:val="24"/>
              </w:rPr>
              <w:t>洁净度：乙方应做好织物清洗质量的内检，清洗后送至甲方的织物返洗率不得超过</w:t>
            </w:r>
            <w:r>
              <w:rPr>
                <w:rFonts w:ascii="仿宋_GB2312" w:hAnsi="仿宋_GB2312" w:cs="仿宋_GB2312" w:eastAsia="仿宋_GB2312"/>
                <w:sz w:val="24"/>
              </w:rPr>
              <w:t>3%，返洗织物不收取费用；超出织物返洗率的，除甲方不予支付洗涤费用外，还应按照以下公式计算扣款金额。</w:t>
            </w:r>
          </w:p>
          <w:p>
            <w:pPr>
              <w:pStyle w:val="null3"/>
              <w:spacing w:before="105" w:after="105"/>
              <w:ind w:firstLine="480"/>
              <w:jc w:val="left"/>
            </w:pPr>
            <w:r>
              <w:rPr>
                <w:rFonts w:ascii="仿宋_GB2312" w:hAnsi="仿宋_GB2312" w:cs="仿宋_GB2312" w:eastAsia="仿宋_GB2312"/>
                <w:sz w:val="24"/>
              </w:rPr>
              <w:t>单品扣款金额</w:t>
            </w:r>
            <w:r>
              <w:rPr>
                <w:rFonts w:ascii="仿宋_GB2312" w:hAnsi="仿宋_GB2312" w:cs="仿宋_GB2312" w:eastAsia="仿宋_GB2312"/>
                <w:sz w:val="24"/>
              </w:rPr>
              <w:t>=[本月单品返洗数量-（本月单品洗涤数量×3%）]×单品洗涤单价。</w:t>
            </w:r>
          </w:p>
          <w:p>
            <w:pPr>
              <w:pStyle w:val="null3"/>
              <w:spacing w:before="105" w:after="105"/>
              <w:ind w:firstLine="480"/>
              <w:jc w:val="left"/>
            </w:pPr>
            <w:r>
              <w:rPr>
                <w:rFonts w:ascii="仿宋_GB2312" w:hAnsi="仿宋_GB2312" w:cs="仿宋_GB2312" w:eastAsia="仿宋_GB2312"/>
                <w:sz w:val="24"/>
              </w:rPr>
              <w:t>总扣款金额</w:t>
            </w:r>
            <w:r>
              <w:rPr>
                <w:rFonts w:ascii="仿宋_GB2312" w:hAnsi="仿宋_GB2312" w:cs="仿宋_GB2312" w:eastAsia="仿宋_GB2312"/>
                <w:sz w:val="24"/>
              </w:rPr>
              <w:t>=各单品扣款金额之和。按月从洗涤费中直接扣除。</w:t>
            </w:r>
          </w:p>
          <w:p>
            <w:pPr>
              <w:pStyle w:val="null3"/>
              <w:spacing w:before="105" w:after="105"/>
              <w:ind w:firstLine="480"/>
              <w:jc w:val="left"/>
            </w:pPr>
            <w:r>
              <w:rPr>
                <w:rFonts w:ascii="仿宋_GB2312" w:hAnsi="仿宋_GB2312" w:cs="仿宋_GB2312" w:eastAsia="仿宋_GB2312"/>
                <w:sz w:val="24"/>
              </w:rPr>
              <w:t>白度：甲方提供符合甲方白度要求的布草，由乙方对该布草白度进行测定，经双方确认后签字并封存，作为甲方要求的白度标准，甲方有权对乙方洗涤后的布草白度进行随时检测。乙方洗涤后的布草白度应满足甲方要求。</w:t>
            </w:r>
          </w:p>
          <w:p>
            <w:pPr>
              <w:pStyle w:val="null3"/>
              <w:spacing w:before="105" w:after="105"/>
              <w:ind w:firstLine="480"/>
              <w:jc w:val="left"/>
            </w:pPr>
            <w:r>
              <w:rPr>
                <w:rFonts w:ascii="仿宋_GB2312" w:hAnsi="仿宋_GB2312" w:cs="仿宋_GB2312" w:eastAsia="仿宋_GB2312"/>
                <w:sz w:val="24"/>
              </w:rPr>
              <w:t>五、对织物清洗后的抽查及处罚：</w:t>
            </w:r>
          </w:p>
          <w:p>
            <w:pPr>
              <w:pStyle w:val="null3"/>
              <w:spacing w:before="105" w:after="105"/>
              <w:ind w:firstLine="480"/>
              <w:jc w:val="left"/>
            </w:pPr>
            <w:r>
              <w:rPr>
                <w:rFonts w:ascii="仿宋_GB2312" w:hAnsi="仿宋_GB2312" w:cs="仿宋_GB2312" w:eastAsia="仿宋_GB2312"/>
                <w:sz w:val="24"/>
              </w:rPr>
              <w:t>由医院主导每月对清洗后的洁净织物、工作人员手卫生、工作台面、笼车、运输器具等依据中华人民共和国卫生行业标准中《医疗机构医用织物洗涤消毒技术标准》经双方签字确认后进行抽检。</w:t>
            </w:r>
          </w:p>
          <w:p>
            <w:pPr>
              <w:pStyle w:val="null3"/>
              <w:spacing w:before="105" w:after="105"/>
              <w:ind w:firstLine="480"/>
              <w:jc w:val="left"/>
            </w:pPr>
            <w:r>
              <w:rPr>
                <w:rFonts w:ascii="仿宋_GB2312" w:hAnsi="仿宋_GB2312" w:cs="仿宋_GB2312" w:eastAsia="仿宋_GB2312"/>
                <w:sz w:val="24"/>
              </w:rPr>
              <w:t>对于医院主导的抽检结果，不符合《医疗机构医用织物洗涤消毒技术标准》要求的，按照每人、每品类</w:t>
            </w:r>
            <w:r>
              <w:rPr>
                <w:rFonts w:ascii="仿宋_GB2312" w:hAnsi="仿宋_GB2312" w:cs="仿宋_GB2312" w:eastAsia="仿宋_GB2312"/>
                <w:sz w:val="24"/>
              </w:rPr>
              <w:t>0.5万元（5000元）进行处罚；并由甲方对不符合要求的人手、品类再次抽检，如仍不符合要求，按照每人、每品类1万元（10000元）进行处罚；第三次不符合要求，按照每人、每品类2万元（20000元）进行处罚后终止合同。</w:t>
            </w:r>
          </w:p>
          <w:p>
            <w:pPr>
              <w:pStyle w:val="null3"/>
              <w:spacing w:before="105" w:after="105"/>
              <w:ind w:firstLine="480"/>
              <w:jc w:val="left"/>
            </w:pPr>
            <w:r>
              <w:rPr>
                <w:rFonts w:ascii="仿宋_GB2312" w:hAnsi="仿宋_GB2312" w:cs="仿宋_GB2312" w:eastAsia="仿宋_GB2312"/>
                <w:sz w:val="24"/>
              </w:rPr>
              <w:t>六、对织物的扫码要求：</w:t>
            </w:r>
          </w:p>
          <w:p>
            <w:pPr>
              <w:pStyle w:val="null3"/>
              <w:spacing w:before="105" w:after="105"/>
              <w:ind w:firstLine="480"/>
              <w:jc w:val="left"/>
            </w:pPr>
            <w:r>
              <w:rPr>
                <w:rFonts w:ascii="仿宋_GB2312" w:hAnsi="仿宋_GB2312" w:cs="仿宋_GB2312" w:eastAsia="仿宋_GB2312"/>
                <w:sz w:val="24"/>
              </w:rPr>
              <w:t>为了保证每件布草清洗次数的准确性，为布草报废做出数据支撑，乙方应对所有带有芯片布草在清洗和发放时进行扫码，并对报废布草数据进行报废处理。</w:t>
            </w:r>
          </w:p>
          <w:p>
            <w:pPr>
              <w:pStyle w:val="null3"/>
              <w:spacing w:before="105" w:after="105"/>
              <w:ind w:firstLine="480"/>
              <w:jc w:val="left"/>
            </w:pPr>
            <w:r>
              <w:rPr>
                <w:rFonts w:ascii="仿宋_GB2312" w:hAnsi="仿宋_GB2312" w:cs="仿宋_GB2312" w:eastAsia="仿宋_GB2312"/>
                <w:sz w:val="24"/>
              </w:rPr>
              <w:t>七、其它约定：</w:t>
            </w:r>
          </w:p>
          <w:p>
            <w:pPr>
              <w:pStyle w:val="null3"/>
              <w:spacing w:before="105" w:after="105"/>
              <w:ind w:firstLine="480"/>
              <w:jc w:val="left"/>
            </w:pPr>
            <w:r>
              <w:rPr>
                <w:rFonts w:ascii="仿宋_GB2312" w:hAnsi="仿宋_GB2312" w:cs="仿宋_GB2312" w:eastAsia="仿宋_GB2312"/>
                <w:sz w:val="24"/>
              </w:rPr>
              <w:t>1）除地方有关执法检查中出现的所有罚款全部由乙方承担外。乙方还应向甲方缴纳罚款数额2倍的违约金。</w:t>
            </w:r>
          </w:p>
          <w:p>
            <w:pPr>
              <w:pStyle w:val="null3"/>
              <w:spacing w:before="105" w:after="105"/>
              <w:ind w:firstLine="480"/>
              <w:jc w:val="left"/>
            </w:pPr>
            <w:r>
              <w:rPr>
                <w:rFonts w:ascii="仿宋_GB2312" w:hAnsi="仿宋_GB2312" w:cs="仿宋_GB2312" w:eastAsia="仿宋_GB2312"/>
                <w:sz w:val="24"/>
              </w:rPr>
              <w:t>2）关于西苑病区被服的要求：所有送至西苑病区的被服和病员服须经乙方人工分拣，不得出现不洁净或破损被服、病员服，如出现不洁净或破损被服、病员服，按照1条/次100元扣款。</w:t>
            </w:r>
          </w:p>
          <w:p>
            <w:pPr>
              <w:pStyle w:val="null3"/>
              <w:spacing w:before="105" w:after="105"/>
              <w:ind w:firstLine="480"/>
              <w:jc w:val="left"/>
            </w:pPr>
            <w:r>
              <w:rPr>
                <w:rFonts w:ascii="仿宋_GB2312" w:hAnsi="仿宋_GB2312" w:cs="仿宋_GB2312" w:eastAsia="仿宋_GB2312"/>
                <w:sz w:val="24"/>
              </w:rPr>
              <w:t>3）关于布草抽查的要求：甲方对乙方送至医院的织物的洁净度及破损情况有权抽查，抽查比例不低于5%。对抽查中发现的不洁净或破损被服、病员服，按照1条/次20元扣款。</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支付方式：服务时限内分期付款，采购人和洗涤单位的付款必须仅按合同中所提供的户名及账号进行银行结算。 合同签订后，合同签订的单价固定不变（不随市场洗涤行情而变动），根据服务考核结果及每日医院统计的住院率按月累计据实结算，每日服务费用=单价*3500*住院率，最终结算价格不超过采购预算。中标人每月向采购人提供与上月结算服务费用等额的符合税法规定的增值税发票 ，达到付款条件起 20 日内，支付发票金额的 100.00%。 文件中支付约定不一致的，以此处为准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合同签订之日起两年，一年一评价，评价合格续签下一年度合同。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陕西省人民医院（含主院区及西咸院区）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1.验收形式：科室验收和监管方抽查 2.验收标准： 清洗消毒应严格按照WS/T508——2025《医疗机构医用织物洗涤消毒技术标准》或国家最新规范相关规定执行。洗涤单位每月应提供一份工作衣、职工被服、病员服及病员被服第三方检测且达标的检测报告； 洗涤剂应符合国家最新标准； 清洁织物应外观无明显污渍、整洁、干燥、无异味、无破损，分类折叠；工作衣应熨烫平整，且独立包装； 感染性织物与非感染性织物应分开包装，分机洗涤，并由洗涤单位免费提供水溶性包装袋； 新生儿、婴儿医用织物应做到专机洗涤，不可与其它医用织物混洗，单独分类包装，做好标识，做交接手续。 职工工作衣裤等医用织物应做到专机洗涤，不可与其它医用织物混洗，单独分类包装，做好标识，做交接手续。 敷料折叠应提前与使用部门对接，折叠尺寸按照医院惯例执行； 破损织物应单独分类、包装。 3.验收方法：由使用部门验收。 4.考核标准：按照合同附件考核办法执行（详见采购合同附件考核办法）。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合同签订的单价固定不变（不随市场洗涤行情而变动），根据服务考核结果及每日医院统计的住院率按月累计据实结算，每日服务费用=单价*3500*住院率，最终结算价格不超过采购预算。中标人每月向采购人提供与上月结算服务费用等额的符合税法规定的增值税发票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执行期间，甲方按照合同附件考核办法每月对中标供应商的服务进行考核，对于考核不合格的月份做出相应违约处罚（详见采购合同附件考核办法）。若中标供应商连续两次考核或一年内三次考核不合格，甲方有权随时终止合同。 若在执行本合同中发生的或与本合同有关的争端，双方应通过友好协商解决，经协商在30天内不能达成协议时，应提交采购人所在地有管辖权的人民法院诉讼解决。 其他内容详见拟签订的合同文本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供应商需要在线提交所有通过电子化交易平台实施的政府采购项目的投标文件，同时，线下提交投标 文件正本 壹 份、副本 贰份。若电子投标文件 与纸质投标文件不一致的，以线上提交的电子投标文件为准。 1.线下提交投标文件地点：西安市高新区唐延路旺座现代城C座25楼2502室 2.联系电话：029-88319689转8003/8005；邮箱：sxwzzb04@163.com 3.保证金汇款时请备注项目编号（例如备注为：省人民-208） 4.供应商登记免费领取采购文件的，如不参与项目投标，应在递交投标（或响应）文件截止时间一日前以书面形式告知采购代理机构（自拟弃标函，发送至以上邮箱）。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会计师事务所出具的有效的2024年度审计报告（至少包括“四表一注”，即资产负债表、利润表、现金流量表、所有者权益变动表及其附注，成立时间至提交投标文件截止时间不足一年的可提供成立后任意时段的资产负债表），或提交自2025年1月1日以来基本账户银行出具的资信证明（提供基本户证明材料），或信用担保机构出具的投标担保函（以上三种形式的资料提供任何一种即可）；其他组织和自然人提供银行出具的资信证明或财务报表；注：财会[2023]15号文《财政部 国务院国资委 金融监管总局关于加强审计报告查验工作的通知》会计师事务所应当主动向被审计单位提供附验证码的审计报告。即 2023 年及以后的审计报告需附验证码；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提供2025年1月至今已缴存的至少一个月的依法缴纳税款的相关凭据（时间以税款所属日期为准），凭据应有税务机关或代收机关的公章或业务专用章。依法免税或无须缴纳税款的供应商，应提供相应证明文件；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供应商应授权合法的人员参加投标，其中法定代表人直接参加的，须提供法定代表人身份证，并与营业执照上信息一致。法定代表人授权代表参加的，须提供法定代表人授权书；</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开标一览表 分项报价表.docx 投标人承诺书及其他需要说明的事项.docx 投标人应提交的相关资格证明文件.docx 商务、服务应答表及项目实施方案、业绩.docx 投标函 中小企业声明函 残疾人福利性单位声明函 标的清单 投标文件封面 监狱企业的证明文件 保证金退还账户信息确认表.docx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报价是否超过招标文件中规定的单价最高限价的</w:t>
            </w:r>
          </w:p>
        </w:tc>
        <w:tc>
          <w:tcPr>
            <w:tcW w:type="dxa" w:w="3322"/>
          </w:tcPr>
          <w:p>
            <w:pPr>
              <w:pStyle w:val="null3"/>
            </w:pPr>
            <w:r>
              <w:rPr>
                <w:rFonts w:ascii="仿宋_GB2312" w:hAnsi="仿宋_GB2312" w:cs="仿宋_GB2312" w:eastAsia="仿宋_GB2312"/>
              </w:rPr>
              <w:t>报价未超过招标文件中规定的单价最高限价的</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投标人承诺书及其他需要说明的事项.docx 商务、服务应答表及项目实施方案、业绩.docx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投标文件是否满足招标文件中的实质性条款要求</w:t>
            </w:r>
          </w:p>
        </w:tc>
        <w:tc>
          <w:tcPr>
            <w:tcW w:type="dxa" w:w="3322"/>
          </w:tcPr>
          <w:p>
            <w:pPr>
              <w:pStyle w:val="null3"/>
            </w:pPr>
            <w:r>
              <w:rPr>
                <w:rFonts w:ascii="仿宋_GB2312" w:hAnsi="仿宋_GB2312" w:cs="仿宋_GB2312" w:eastAsia="仿宋_GB2312"/>
              </w:rPr>
              <w:t>满足本招标文件中“服务期限、服务地点、采购资金的支付方式及约定、”的实质性条款要求的</w:t>
            </w:r>
          </w:p>
        </w:tc>
        <w:tc>
          <w:tcPr>
            <w:tcW w:type="dxa" w:w="1661"/>
          </w:tcPr>
          <w:p>
            <w:pPr>
              <w:pStyle w:val="null3"/>
            </w:pPr>
            <w:r>
              <w:rPr>
                <w:rFonts w:ascii="仿宋_GB2312" w:hAnsi="仿宋_GB2312" w:cs="仿宋_GB2312" w:eastAsia="仿宋_GB2312"/>
              </w:rPr>
              <w:t>商务、服务应答表及项目实施方案、业绩.docx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分项报价表.docx 投标人承诺书及其他需要说明的事项.docx 投标人应提交的相关资格证明文件.docx 商务、服务应答表及项目实施方案、业绩.docx 投标函 中小企业声明函 残疾人福利性单位声明函 标的清单 投标文件封面 监狱企业的证明文件 保证金退还账户信息确认表.docx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不同投标人的投标文件是否由同一单位或者个人编制</w:t>
            </w:r>
          </w:p>
        </w:tc>
        <w:tc>
          <w:tcPr>
            <w:tcW w:type="dxa" w:w="3322"/>
          </w:tcPr>
          <w:p>
            <w:pPr>
              <w:pStyle w:val="null3"/>
            </w:pPr>
            <w:r>
              <w:rPr>
                <w:rFonts w:ascii="仿宋_GB2312" w:hAnsi="仿宋_GB2312" w:cs="仿宋_GB2312" w:eastAsia="仿宋_GB2312"/>
              </w:rPr>
              <w:t>不同投标人的投标文件不是由同一单位或者个人编制</w:t>
            </w:r>
          </w:p>
        </w:tc>
        <w:tc>
          <w:tcPr>
            <w:tcW w:type="dxa" w:w="1661"/>
          </w:tcPr>
          <w:p>
            <w:pPr>
              <w:pStyle w:val="null3"/>
            </w:pPr>
            <w:r>
              <w:rPr>
                <w:rFonts w:ascii="仿宋_GB2312" w:hAnsi="仿宋_GB2312" w:cs="仿宋_GB2312" w:eastAsia="仿宋_GB2312"/>
              </w:rPr>
              <w:t>开标一览表 分项报价表.docx 投标人承诺书及其他需要说明的事项.docx 投标人应提交的相关资格证明文件.docx 商务、服务应答表及项目实施方案、业绩.docx 投标函 中小企业声明函 残疾人福利性单位声明函 标的清单 投标文件封面 监狱企业的证明文件 保证金退还账户信息确认表.docx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不同投标人是否委托同一单位或者个人办理投标事宜</w:t>
            </w:r>
          </w:p>
        </w:tc>
        <w:tc>
          <w:tcPr>
            <w:tcW w:type="dxa" w:w="3322"/>
          </w:tcPr>
          <w:p>
            <w:pPr>
              <w:pStyle w:val="null3"/>
            </w:pPr>
            <w:r>
              <w:rPr>
                <w:rFonts w:ascii="仿宋_GB2312" w:hAnsi="仿宋_GB2312" w:cs="仿宋_GB2312" w:eastAsia="仿宋_GB2312"/>
              </w:rPr>
              <w:t>不同投标人不是委托同一单位或者个人办理投标事宜</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不同投标人的投标文件载明的项目管理成员或者联系人员是否为同一人</w:t>
            </w:r>
          </w:p>
        </w:tc>
        <w:tc>
          <w:tcPr>
            <w:tcW w:type="dxa" w:w="3322"/>
          </w:tcPr>
          <w:p>
            <w:pPr>
              <w:pStyle w:val="null3"/>
            </w:pPr>
            <w:r>
              <w:rPr>
                <w:rFonts w:ascii="仿宋_GB2312" w:hAnsi="仿宋_GB2312" w:cs="仿宋_GB2312" w:eastAsia="仿宋_GB2312"/>
              </w:rPr>
              <w:t>不同投标人的投标文件载明的项目管理成员或者联系人员不是同一人</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不同投标人的投标文件是否异常一致或者投标报价呈规律性差异</w:t>
            </w:r>
          </w:p>
        </w:tc>
        <w:tc>
          <w:tcPr>
            <w:tcW w:type="dxa" w:w="3322"/>
          </w:tcPr>
          <w:p>
            <w:pPr>
              <w:pStyle w:val="null3"/>
            </w:pPr>
            <w:r>
              <w:rPr>
                <w:rFonts w:ascii="仿宋_GB2312" w:hAnsi="仿宋_GB2312" w:cs="仿宋_GB2312" w:eastAsia="仿宋_GB2312"/>
              </w:rPr>
              <w:t>不同投标人的投标文件未发现异常一致或者投标报价呈规律性差异</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不同投标人的投标保证金是否从同单位或者个人的账户转出</w:t>
            </w:r>
          </w:p>
        </w:tc>
        <w:tc>
          <w:tcPr>
            <w:tcW w:type="dxa" w:w="3322"/>
          </w:tcPr>
          <w:p>
            <w:pPr>
              <w:pStyle w:val="null3"/>
            </w:pPr>
            <w:r>
              <w:rPr>
                <w:rFonts w:ascii="仿宋_GB2312" w:hAnsi="仿宋_GB2312" w:cs="仿宋_GB2312" w:eastAsia="仿宋_GB2312"/>
              </w:rPr>
              <w:t>不同投标人的投标保证金不是从同一单位或者个人的账户转出</w:t>
            </w:r>
          </w:p>
        </w:tc>
        <w:tc>
          <w:tcPr>
            <w:tcW w:type="dxa" w:w="1661"/>
          </w:tcPr>
          <w:p>
            <w:pPr>
              <w:pStyle w:val="null3"/>
            </w:pPr>
            <w:r>
              <w:rPr>
                <w:rFonts w:ascii="仿宋_GB2312" w:hAnsi="仿宋_GB2312" w:cs="仿宋_GB2312" w:eastAsia="仿宋_GB2312"/>
              </w:rPr>
              <w:t>保证金退还账户信息确认表.docx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场所保障</w:t>
            </w:r>
          </w:p>
        </w:tc>
        <w:tc>
          <w:tcPr>
            <w:tcW w:type="dxa" w:w="2492"/>
          </w:tcPr>
          <w:p>
            <w:pPr>
              <w:pStyle w:val="null3"/>
            </w:pPr>
            <w:r>
              <w:rPr>
                <w:rFonts w:ascii="仿宋_GB2312" w:hAnsi="仿宋_GB2312" w:cs="仿宋_GB2312" w:eastAsia="仿宋_GB2312"/>
              </w:rPr>
              <w:t>洗涤场所满足医疗机构医用织物洗涤消毒技术标准(WS/T 508-2025)及本项目服务需求，内部布局合理，具备隔离洗涤、分类洗涤条件，具有净污分离、物流不交叉，无逆流，具有工作人员风淋消毒通道及设施等规范要求，提供场所所有权证明或使用证明、现场照片及全过程洗涤流程图等证明材料。完全满足采购需求，内容完整，证明材料齐全，无瑕疵计6分； 存在1处瑕疵计3分； 存在2处瑕疵计1分； 未提供或内容存在3处及以上瑕疵：0分。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商务、服务应答表及项目实施方案、业绩.docx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投标人针对本项目提供总体实施方案：包含洗涤工序、 被服分类、消毒流程、熨烫、折叠、缝补、配送等内容， 详细列出服务工作计划，并按照标准化实施服务管理。 1、方案内容完整全面，措施有效明确，管理责任清晰， 计 15 分； 2、方案内容较为完整，措施合理可行，管理责任较为清 晰 ，计 12 分； 3、方案内容相对完整，措施相对可行，管理责任相对清 晰 ，计 9 分； 4、服务方案内容基本完整，措施基本可行，管理责任基 本清晰，计 6 分； 5、服务方案内容较简单，计 3 分； 6 、服务方案内容简略，计 1 分； 7、未提供的不计分。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商务、服务应答表及项目实施方案、业绩.docx</w:t>
            </w:r>
          </w:p>
        </w:tc>
      </w:tr>
      <w:tr>
        <w:tc>
          <w:tcPr>
            <w:tcW w:type="dxa" w:w="831"/>
            <w:vMerge/>
          </w:tcPr>
          <w:p/>
        </w:tc>
        <w:tc>
          <w:tcPr>
            <w:tcW w:type="dxa" w:w="1661"/>
          </w:tcPr>
          <w:p>
            <w:pPr>
              <w:pStyle w:val="null3"/>
            </w:pPr>
            <w:r>
              <w:rPr>
                <w:rFonts w:ascii="仿宋_GB2312" w:hAnsi="仿宋_GB2312" w:cs="仿宋_GB2312" w:eastAsia="仿宋_GB2312"/>
              </w:rPr>
              <w:t>洗涤耗材</w:t>
            </w:r>
          </w:p>
        </w:tc>
        <w:tc>
          <w:tcPr>
            <w:tcW w:type="dxa" w:w="2492"/>
          </w:tcPr>
          <w:p>
            <w:pPr>
              <w:pStyle w:val="null3"/>
            </w:pPr>
            <w:r>
              <w:rPr>
                <w:rFonts w:ascii="仿宋_GB2312" w:hAnsi="仿宋_GB2312" w:cs="仿宋_GB2312" w:eastAsia="仿宋_GB2312"/>
              </w:rPr>
              <w:t>1、投标人提供的洗涤剂产品达到或优于国家医用织物洗涤要求，全部产品通过国家环境标志产品认证，且提供详细全面的相关证明材料，计 6 分； 2、投标人提供的洗涤剂产品基本达到国家医用织物洗涤 要求，提供相关证明材料，计 3 分； 3、投标人提供的洗涤剂产品部分达到国家医用织物洗涤要求，证明材料不齐全，计1份。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商务、服务应答表及项目实施方案、业绩.docx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针对本项目提供详细的人员配备，包括但不限于： 1、组织管理机构人员名单及人员分工安排、职责划分、工作经验； 2、项目负责人的从业经验、管理能力等； 3、人员组织协调方案 4、参与本项目所有服务人员的工作经验证明及健康证明； 评审标准 1、完善性：方案必须全面，对评审内容中的各项要求有详细阐述； 2、可实施性：切合本项目实际情况，提出步骤清晰、合理的方案； 3、针对性：方案能够紧扣项目实际情况，内容科学合理。 上述评审内容全部满足评审标准得4分，每有一个评审内容缺项扣1分，扣完为止。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商务、服务应答表及项目实施方案、业绩.docx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供应商应具有处理突发事件（①停水停电停气②织物突然增多③机器故障、④医院紧急通知及车辆紧急需求、⑤公共突发传染事件应对）的应急方案能力。 评审标准：上述每1项方案内容全面详细、案例佐证，阐述条理清晰详尽符合本项目采购需求得1分；每项每有一处有缺陷扣0.5分，每项最多扣1分。（缺陷是指存在明显错误、内容粗略或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商务、服务应答表及项目实施方案、业绩.docx</w:t>
            </w:r>
          </w:p>
        </w:tc>
      </w:tr>
      <w:tr>
        <w:tc>
          <w:tcPr>
            <w:tcW w:type="dxa" w:w="831"/>
            <w:vMerge/>
          </w:tcPr>
          <w:p/>
        </w:tc>
        <w:tc>
          <w:tcPr>
            <w:tcW w:type="dxa" w:w="1661"/>
          </w:tcPr>
          <w:p>
            <w:pPr>
              <w:pStyle w:val="null3"/>
            </w:pPr>
            <w:r>
              <w:rPr>
                <w:rFonts w:ascii="仿宋_GB2312" w:hAnsi="仿宋_GB2312" w:cs="仿宋_GB2312" w:eastAsia="仿宋_GB2312"/>
              </w:rPr>
              <w:t>院内服务方案</w:t>
            </w:r>
          </w:p>
        </w:tc>
        <w:tc>
          <w:tcPr>
            <w:tcW w:type="dxa" w:w="2492"/>
          </w:tcPr>
          <w:p>
            <w:pPr>
              <w:pStyle w:val="null3"/>
            </w:pPr>
            <w:r>
              <w:rPr>
                <w:rFonts w:ascii="仿宋_GB2312" w:hAnsi="仿宋_GB2312" w:cs="仿宋_GB2312" w:eastAsia="仿宋_GB2312"/>
              </w:rPr>
              <w:t>投标人针对本项目配备驻院服务团队，主要负责医院织物的下收下送服务，固定交接人员，在每日配送固定时间进行交接，严格履行交接手续，分类交接。提供拟派交接人员简历、人员健康证明、社保缴纳证明等相关证明材料，合理、严谨的交接方案，并有详细科学的台账整理方案，避免出现送错、漏、丢失等情况。 完全满足采购需求，无瑕疵计6分； 存在1处瑕疵计3分； 存在2处瑕疵计2分； 存在3处瑕疵计1分； 未提供或内容存在4处及以上瑕疵：0分。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商务、服务应答表及项目实施方案、业绩.docx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各供应商针对本项目的售后服务方案，包括但不限于：1、售后服务内容及承诺；2、现有服务体系（服务人员、服务场所、服务设施设备、物流转运等）；3、织物损坏解决方案；4、整体售后服务响应时间、同等医院客户评价等。方案各项内容全面详细、阐述条理清晰、能有效保障本项目实施得10分。方案各项内容较详细、阐述条理较清晰、能基本保障本项目实施得7分。方案各项内容基本详细、阐述条理基本合理、能基本保障本项目实施得4分。方案各项内容不详细、阐述条理不合理、不能有效保障本项目实施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商务、服务应答表及项目实施方案、业绩.docx</w:t>
            </w:r>
          </w:p>
        </w:tc>
      </w:tr>
      <w:tr>
        <w:tc>
          <w:tcPr>
            <w:tcW w:type="dxa" w:w="831"/>
            <w:vMerge/>
          </w:tcPr>
          <w:p/>
        </w:tc>
        <w:tc>
          <w:tcPr>
            <w:tcW w:type="dxa" w:w="1661"/>
          </w:tcPr>
          <w:p>
            <w:pPr>
              <w:pStyle w:val="null3"/>
            </w:pPr>
            <w:r>
              <w:rPr>
                <w:rFonts w:ascii="仿宋_GB2312" w:hAnsi="仿宋_GB2312" w:cs="仿宋_GB2312" w:eastAsia="仿宋_GB2312"/>
              </w:rPr>
              <w:t>洗涤设备</w:t>
            </w:r>
          </w:p>
        </w:tc>
        <w:tc>
          <w:tcPr>
            <w:tcW w:type="dxa" w:w="2492"/>
          </w:tcPr>
          <w:p>
            <w:pPr>
              <w:pStyle w:val="null3"/>
            </w:pPr>
            <w:r>
              <w:rPr>
                <w:rFonts w:ascii="仿宋_GB2312" w:hAnsi="仿宋_GB2312" w:cs="仿宋_GB2312" w:eastAsia="仿宋_GB2312"/>
              </w:rPr>
              <w:t>投标人具有医用织物专业洗涤设备： 1.具有一套连续隧道式洗衣机设备，得2分，每增加一套连续隧道式洗衣机设备加1分，满分4分； 2.具有烫平机一台得0.5分，每增加一台加0.5分，满分1分； 3.具有全自动折叠机一台得0.5分，每增加一台加0.5分，满分1分； 4.具有烘干设备一台得0.5分，每增加一台加0.5分，满分2分； 5.具有展布机一台得0.5分，每增加一台加0.5分，满分2分； 6.具有隔离式洗涤设备，婴幼儿及医务人员专用洗涤设备得1分，每缺一项扣0.5分，扣完为止。 7.具有自备应急蒸汽锅炉，得 1 分，未提供不得分。 备注：上述设备需为投标人自有设备且提供设备购买发票、设备现场实景照片举证，未提供不得分。 蒸汽锅炉还需提供特种设备使用登记证、锅炉环评批复、锅炉项目竣工验收报告，以上为必备证明材料，缺项不得分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商务、服务应答表及项目实施方案、业绩.docx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有良好的配送能力，具有一定数量的自有或租赁医用被服专用配送车辆（提供相关证明材料，包括但不限于有效期内的行驶证，车辆购置发票或租赁合同），车辆数量≥4辆，每提供自有车辆1辆计1分，最高计6分；每提供租赁车辆1辆计0.5分，最高计3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商务、服务应答表及项目实施方案、业绩.docx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投标人提供2022年1月至今的医疗机构业绩，每提供1份计1分，最高得5分；（需提供医院业绩合同及结算发票的扫描件）提供不完整的、未提供的均不计分。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商务、服务应答表及项目实施方案、业绩.docx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评标基准价计算方法：满足招标文件要求且报价最低的 投标报价为评标基准价 报价得分=（评标基准价/投标报价） × 25×100%</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详见附件：商务、服务应答表及项目实施方案、业绩.docx</w:t>
      </w:r>
    </w:p>
    <w:p>
      <w:pPr>
        <w:pStyle w:val="null3"/>
        <w:ind w:firstLine="960"/>
      </w:pPr>
      <w:r>
        <w:rPr>
          <w:rFonts w:ascii="仿宋_GB2312" w:hAnsi="仿宋_GB2312" w:cs="仿宋_GB2312" w:eastAsia="仿宋_GB2312"/>
        </w:rPr>
        <w:t>详见附件：投标人承诺书及其他需要说明的事项.docx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详见附件：保证金退还账户信息确认表.docx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详见附件：医用织物洗涤服务采购项目（合同模版）.docx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