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版本号：ZMZB2025XBFY-28520250917001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日间手术管理系统项目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ZMZB2025XBFY-285</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日间手术管理系统项目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ZMZB2025XBFY-285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日间手术管理系统项目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为加快日间手术运行效率，提高日间手术占比，提升患者就医体验，推动医院高质量发展，拟采购日间手术管理系统。</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含1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4、社会保障资金缴纳证明：提供2025年1月（含1月）以后任意一个月的社会保障资金缴存单据或社保机构开具的社会保险参保缴费情况证明。依法不需要缴纳社会保障资金的供应商应提供相关文件证明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8、本项目不接受联合体投标：非联合体投标声明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177 7896 6062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下浮20%计算。 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完成合同及招标文件规定以及投标文件响应的全部内容，并提出正式上线验收申请，采购人组织相关人员（必要时组成院外专家组）进行项目验收，出具验收报告。正式验收完成后，须继续配合完成相关评级内容。 （2）系统上线后，中标人不但向采购人用户提供系统使用培训，还需提供技术人员培训，以保证采购人工程师能够掌握软件表结构、数据业务流等技术信息。 （3）验收资料：在项目验收时，中标人需提供但不限于项目实施方案、需求说明书、使用人员签字的培训记录、系统操作说明、系统维护说明、验收申请、数据业务流、数据字典及表结构说明、用户手册、数据库用户名及密码等资料。</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联系电话：029-81875979</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为加快日间手术运行效率，提高日间手术占比，提升患者就医体验，推动医院高质量发展，拟采购日间手术管理系统。</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日间手术管理系统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标的名称：日间手术管理系统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83"/>
              <w:gridCol w:w="797"/>
              <w:gridCol w:w="2442"/>
            </w:tblGrid>
            <w:tr>
              <w:tc>
                <w:tcPr>
                  <w:tcW w:type="dxa" w:w="58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医护</w:t>
                  </w:r>
                  <w:r>
                    <w:rPr>
                      <w:rFonts w:ascii="仿宋_GB2312" w:hAnsi="仿宋_GB2312" w:cs="仿宋_GB2312" w:eastAsia="仿宋_GB2312"/>
                      <w:sz w:val="21"/>
                    </w:rPr>
                    <w:t>PC端</w:t>
                  </w:r>
                </w:p>
              </w:tc>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工作台</w:t>
                  </w:r>
                </w:p>
              </w:tc>
              <w:tc>
                <w:tcPr>
                  <w:tcW w:type="dxa" w:w="24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根据角色显示我的代办，手术日程，通知公告。</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患者管理</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查看患者总览，可根据日间手术全流程节点展示患者分布情况，患者管理，可针对具体患者查看整个日间手术流程中的所有信息，能进行患者信息修改和退出日间申请等功能。</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日间申请</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医生初步判断患者是否可以进入日间手术路径，</w:t>
                  </w:r>
                  <w:r>
                    <w:rPr>
                      <w:rFonts w:ascii="仿宋_GB2312" w:hAnsi="仿宋_GB2312" w:cs="仿宋_GB2312" w:eastAsia="仿宋_GB2312"/>
                      <w:sz w:val="21"/>
                    </w:rPr>
                    <w:t>开具日间手术申请。</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中心登记</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患者到日间手术中心进行登记，完善患者基本信息、简要病史、检查等信息录入等功能。</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报告结果查询</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支持调用、查看院前检查报告。</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center"/>
                  </w:pPr>
                  <w:r>
                    <w:rPr>
                      <w:rFonts w:ascii="仿宋_GB2312" w:hAnsi="仿宋_GB2312" w:cs="仿宋_GB2312" w:eastAsia="仿宋_GB2312"/>
                      <w:sz w:val="20"/>
                    </w:rPr>
                    <w:t>▲</w:t>
                  </w:r>
                  <w:r>
                    <w:rPr>
                      <w:rFonts w:ascii="仿宋_GB2312" w:hAnsi="仿宋_GB2312" w:cs="仿宋_GB2312" w:eastAsia="仿宋_GB2312"/>
                      <w:sz w:val="21"/>
                    </w:rPr>
                    <w:t>专科评估</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支持查看门诊病历，根据检查检验报告，完成患者专科评估，打印手术同意书等操作。</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麻醉评估管理</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支持日间手术麻醉评估，填写麻醉术前访视表单，查看专科评估记录等功能。</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预约手术</w:t>
                  </w:r>
                  <w:r>
                    <w:rPr>
                      <w:rFonts w:ascii="仿宋_GB2312" w:hAnsi="仿宋_GB2312" w:cs="仿宋_GB2312" w:eastAsia="仿宋_GB2312"/>
                      <w:sz w:val="21"/>
                    </w:rPr>
                    <w:t>/床位</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支持根据专科、麻醉评估结果，录入床位和手术预约信息，启用停用床位，以及重新预约改期手术患者，修改预约手术时段；与手麻系统、目前的手术智能排班系统对接，支持区分日间手术患者和其他患者；支持人工或自动发送系统生成手术回执单；结合手术室排班，支持系统自动生成手术排程。</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手术跟踪</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支持查询围手术期各环节进度及执行情况反馈。</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出院评估</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支持出院评估、打印评估单等内容，或转专科治疗，以及留观处理等功能。</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医疗</w:t>
                  </w:r>
                  <w:r>
                    <w:rPr>
                      <w:rFonts w:ascii="仿宋_GB2312" w:hAnsi="仿宋_GB2312" w:cs="仿宋_GB2312" w:eastAsia="仿宋_GB2312"/>
                      <w:sz w:val="21"/>
                    </w:rPr>
                    <w:t>文书管理</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支持查看门诊病历、提取门诊病历内容生成预住院病历；支持</w:t>
                  </w:r>
                  <w:r>
                    <w:rPr>
                      <w:rFonts w:ascii="仿宋_GB2312" w:hAnsi="仿宋_GB2312" w:cs="仿宋_GB2312" w:eastAsia="仿宋_GB2312"/>
                      <w:sz w:val="21"/>
                    </w:rPr>
                    <w:t>预书写功能；支持打印日间手术知情同意书等医疗文书。</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随访宣教</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支持获取</w:t>
                  </w:r>
                  <w:r>
                    <w:rPr>
                      <w:rFonts w:ascii="仿宋_GB2312" w:hAnsi="仿宋_GB2312" w:cs="仿宋_GB2312" w:eastAsia="仿宋_GB2312"/>
                      <w:sz w:val="21"/>
                    </w:rPr>
                    <w:t>HIS出院小结等信息，维护随访模板维护，随访任务的制定，自动生成当天待随访计划；支持手术后制定个体化随访内容及随访时间；支持根据具体病种、术式维护宣教模板，将相关信息传递患者端，可查询随访宣教患者阅读状态，根据随访反馈结果做针对性的随访，同时随访问卷提供异常问卷提醒，准确定位异常患者，便于及时处理。</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消息通知管理</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right="390"/>
                    <w:jc w:val="both"/>
                  </w:pPr>
                  <w:r>
                    <w:rPr>
                      <w:rFonts w:ascii="仿宋_GB2312" w:hAnsi="仿宋_GB2312" w:cs="仿宋_GB2312" w:eastAsia="仿宋_GB2312"/>
                      <w:sz w:val="21"/>
                    </w:rPr>
                    <w:t>支持根据预先设定的节点时间，通知医生及患者。例如向患者推送术后病理结果。</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手术安排一览表</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支持多视角查看手术安排情况。</w:t>
                  </w:r>
                </w:p>
              </w:tc>
            </w:tr>
            <w:tr>
              <w:tc>
                <w:tcPr>
                  <w:tcW w:type="dxa" w:w="583"/>
                  <w:vMerge/>
                  <w:tcBorders>
                    <w:top w:val="singl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统计分析</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统计分析指标及动态图形展示；根据医院实际情况及质量管理要求进行定制，做出日间手术运营分析报告。根据国家针对日间手术医疗质量数据上报的要求进行多系统的数据抽取，清洗，转换等，支持数据上报。</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left="135" w:right="375"/>
                    <w:jc w:val="center"/>
                  </w:pPr>
                  <w:r>
                    <w:rPr>
                      <w:rFonts w:ascii="仿宋_GB2312" w:hAnsi="仿宋_GB2312" w:cs="仿宋_GB2312" w:eastAsia="仿宋_GB2312"/>
                      <w:sz w:val="21"/>
                    </w:rPr>
                    <w:t>医护人员</w:t>
                  </w:r>
                  <w:r>
                    <w:rPr>
                      <w:rFonts w:ascii="仿宋_GB2312" w:hAnsi="仿宋_GB2312" w:cs="仿宋_GB2312" w:eastAsia="仿宋_GB2312"/>
                      <w:sz w:val="21"/>
                    </w:rPr>
                    <w:t>端</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患者管理</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50"/>
                    <w:jc w:val="both"/>
                  </w:pPr>
                  <w:r>
                    <w:rPr>
                      <w:rFonts w:ascii="仿宋_GB2312" w:hAnsi="仿宋_GB2312" w:cs="仿宋_GB2312" w:eastAsia="仿宋_GB2312"/>
                      <w:sz w:val="21"/>
                    </w:rPr>
                    <w:t>支持查看患者详细信息，就诊记录，病程记录等信息。</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健康宣教</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65"/>
                    <w:jc w:val="both"/>
                  </w:pPr>
                  <w:r>
                    <w:rPr>
                      <w:rFonts w:ascii="仿宋_GB2312" w:hAnsi="仿宋_GB2312" w:cs="仿宋_GB2312" w:eastAsia="仿宋_GB2312"/>
                      <w:sz w:val="21"/>
                    </w:rPr>
                    <w:t>支持健康宣教管理，根据患者情况以及术式、病种等进行模板维护，自动进行定向推送。</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检查结果查询</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50"/>
                    <w:jc w:val="both"/>
                  </w:pPr>
                  <w:r>
                    <w:rPr>
                      <w:rFonts w:ascii="仿宋_GB2312" w:hAnsi="仿宋_GB2312" w:cs="仿宋_GB2312" w:eastAsia="仿宋_GB2312"/>
                      <w:sz w:val="21"/>
                    </w:rPr>
                    <w:t>支持患者检查结果查询，智能辅助医生，判</w:t>
                  </w:r>
                  <w:r>
                    <w:rPr>
                      <w:rFonts w:ascii="仿宋_GB2312" w:hAnsi="仿宋_GB2312" w:cs="仿宋_GB2312" w:eastAsia="仿宋_GB2312"/>
                      <w:sz w:val="21"/>
                    </w:rPr>
                    <w:t>断患者是否可以入院进行手术。</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手术跟踪</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支持查询围手术期各环节进度及执行情况反馈。</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随访管理</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50"/>
                    <w:jc w:val="both"/>
                  </w:pPr>
                  <w:r>
                    <w:rPr>
                      <w:rFonts w:ascii="仿宋_GB2312" w:hAnsi="仿宋_GB2312" w:cs="仿宋_GB2312" w:eastAsia="仿宋_GB2312"/>
                      <w:sz w:val="21"/>
                    </w:rPr>
                    <w:t>支持随访管理等功能。</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医患沟通</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50"/>
                    <w:jc w:val="both"/>
                  </w:pPr>
                  <w:r>
                    <w:rPr>
                      <w:rFonts w:ascii="仿宋_GB2312" w:hAnsi="仿宋_GB2312" w:cs="仿宋_GB2312" w:eastAsia="仿宋_GB2312"/>
                      <w:sz w:val="21"/>
                    </w:rPr>
                    <w:t>支持医患线上</w:t>
                  </w:r>
                  <w:r>
                    <w:rPr>
                      <w:rFonts w:ascii="仿宋_GB2312" w:hAnsi="仿宋_GB2312" w:cs="仿宋_GB2312" w:eastAsia="仿宋_GB2312"/>
                      <w:sz w:val="21"/>
                    </w:rPr>
                    <w:t>沟通、交流。</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ind w:left="120"/>
                    <w:jc w:val="center"/>
                  </w:pPr>
                  <w:r>
                    <w:rPr>
                      <w:rFonts w:ascii="仿宋_GB2312" w:hAnsi="仿宋_GB2312" w:cs="仿宋_GB2312" w:eastAsia="仿宋_GB2312"/>
                      <w:sz w:val="21"/>
                    </w:rPr>
                    <w:t>管理员</w:t>
                  </w:r>
                  <w:r>
                    <w:rPr>
                      <w:rFonts w:ascii="仿宋_GB2312" w:hAnsi="仿宋_GB2312" w:cs="仿宋_GB2312" w:eastAsia="仿宋_GB2312"/>
                      <w:sz w:val="21"/>
                    </w:rPr>
                    <w:t>端</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基本信息维护</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支持根据医院需求，设置基础信息，标准字典，系统配置。兼容医院一院多区管理服务模式。</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准入权限维护</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50"/>
                    <w:jc w:val="both"/>
                  </w:pPr>
                  <w:r>
                    <w:rPr>
                      <w:rFonts w:ascii="仿宋_GB2312" w:hAnsi="仿宋_GB2312" w:cs="仿宋_GB2312" w:eastAsia="仿宋_GB2312"/>
                      <w:sz w:val="21"/>
                    </w:rPr>
                    <w:t>支持医生、病种、术式进行准入管理，系统内置目前国家推荐的日间术种。</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临床路径</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30"/>
                    <w:jc w:val="both"/>
                  </w:pPr>
                  <w:r>
                    <w:rPr>
                      <w:rFonts w:ascii="仿宋_GB2312" w:hAnsi="仿宋_GB2312" w:cs="仿宋_GB2312" w:eastAsia="仿宋_GB2312"/>
                      <w:sz w:val="21"/>
                    </w:rPr>
                    <w:t>对接临床路径系统，支持日间手术患者实施临床路径管理。</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床位管理</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30"/>
                    <w:jc w:val="both"/>
                  </w:pPr>
                  <w:r>
                    <w:rPr>
                      <w:rFonts w:ascii="仿宋_GB2312" w:hAnsi="仿宋_GB2312" w:cs="仿宋_GB2312" w:eastAsia="仿宋_GB2312"/>
                      <w:sz w:val="21"/>
                    </w:rPr>
                    <w:t>支持新增及调整床位。</w:t>
                  </w:r>
                </w:p>
              </w:tc>
            </w:tr>
            <w:tr>
              <w:tc>
                <w:tcPr>
                  <w:tcW w:type="dxa" w:w="5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患者端</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手术排期查询</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jc w:val="both"/>
                  </w:pPr>
                  <w:r>
                    <w:rPr>
                      <w:rFonts w:ascii="仿宋_GB2312" w:hAnsi="仿宋_GB2312" w:cs="仿宋_GB2312" w:eastAsia="仿宋_GB2312"/>
                      <w:sz w:val="21"/>
                    </w:rPr>
                    <w:t>支持患者在线查询手术排期信息。</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评估结果查询</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50"/>
                    <w:jc w:val="both"/>
                  </w:pPr>
                  <w:r>
                    <w:rPr>
                      <w:rFonts w:ascii="仿宋_GB2312" w:hAnsi="仿宋_GB2312" w:cs="仿宋_GB2312" w:eastAsia="仿宋_GB2312"/>
                      <w:sz w:val="21"/>
                    </w:rPr>
                    <w:t>支持患者在线查询当前手术各个阶段的评估结果及状态，含检查评估、麻醉评估、出院评估等。</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医患沟通</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50"/>
                    <w:jc w:val="both"/>
                  </w:pPr>
                  <w:r>
                    <w:rPr>
                      <w:rFonts w:ascii="仿宋_GB2312" w:hAnsi="仿宋_GB2312" w:cs="仿宋_GB2312" w:eastAsia="仿宋_GB2312"/>
                      <w:sz w:val="21"/>
                    </w:rPr>
                    <w:t>支持医患线上</w:t>
                  </w:r>
                  <w:r>
                    <w:rPr>
                      <w:rFonts w:ascii="仿宋_GB2312" w:hAnsi="仿宋_GB2312" w:cs="仿宋_GB2312" w:eastAsia="仿宋_GB2312"/>
                      <w:sz w:val="21"/>
                    </w:rPr>
                    <w:t>沟通、交流。</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随访问卷</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支持系统定时或实时发送随访问卷调查表，在线填写术前、术后反馈情况、提交随访问卷表。</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t>
                  </w:r>
                  <w:r>
                    <w:rPr>
                      <w:rFonts w:ascii="仿宋_GB2312" w:hAnsi="仿宋_GB2312" w:cs="仿宋_GB2312" w:eastAsia="仿宋_GB2312"/>
                      <w:sz w:val="21"/>
                    </w:rPr>
                    <w:t>健康</w:t>
                  </w:r>
                  <w:r>
                    <w:rPr>
                      <w:rFonts w:ascii="仿宋_GB2312" w:hAnsi="仿宋_GB2312" w:cs="仿宋_GB2312" w:eastAsia="仿宋_GB2312"/>
                      <w:sz w:val="21"/>
                    </w:rPr>
                    <w:t>宣教</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jc w:val="both"/>
                  </w:pPr>
                  <w:r>
                    <w:rPr>
                      <w:rFonts w:ascii="仿宋_GB2312" w:hAnsi="仿宋_GB2312" w:cs="仿宋_GB2312" w:eastAsia="仿宋_GB2312"/>
                      <w:sz w:val="21"/>
                    </w:rPr>
                    <w:t>支持患者可在线收看健康知识宣教文章、视频、直播等。</w:t>
                  </w:r>
                </w:p>
              </w:tc>
            </w:tr>
            <w:tr>
              <w:tc>
                <w:tcPr>
                  <w:tcW w:type="dxa" w:w="583"/>
                  <w:vMerge/>
                  <w:tcBorders>
                    <w:top w:val="none" w:color="000000" w:sz="4"/>
                    <w:left w:val="single" w:color="000000" w:sz="4"/>
                    <w:bottom w:val="single" w:color="000000" w:sz="4"/>
                    <w:right w:val="single" w:color="000000" w:sz="4"/>
                  </w:tcBorders>
                </w:tcP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消息中心</w:t>
                  </w: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50"/>
                    <w:jc w:val="both"/>
                  </w:pPr>
                  <w:r>
                    <w:rPr>
                      <w:rFonts w:ascii="仿宋_GB2312" w:hAnsi="仿宋_GB2312" w:cs="仿宋_GB2312" w:eastAsia="仿宋_GB2312"/>
                      <w:sz w:val="21"/>
                    </w:rPr>
                    <w:t>支持给患者发送各个业务的提醒消息，如预约、登记、缴</w:t>
                  </w:r>
                  <w:r>
                    <w:rPr>
                      <w:rFonts w:ascii="仿宋_GB2312" w:hAnsi="仿宋_GB2312" w:cs="仿宋_GB2312" w:eastAsia="仿宋_GB2312"/>
                      <w:sz w:val="21"/>
                    </w:rPr>
                    <w:t>费、随访、宣教等各种消息。</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接口、功能界面要求</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1、接口要求：须按照</w:t>
                  </w:r>
                  <w:r>
                    <w:rPr>
                      <w:rFonts w:ascii="仿宋_GB2312" w:hAnsi="仿宋_GB2312" w:cs="仿宋_GB2312" w:eastAsia="仿宋_GB2312"/>
                      <w:sz w:val="21"/>
                    </w:rPr>
                    <w:t>采购人</w:t>
                  </w:r>
                  <w:r>
                    <w:rPr>
                      <w:rFonts w:ascii="仿宋_GB2312" w:hAnsi="仿宋_GB2312" w:cs="仿宋_GB2312" w:eastAsia="仿宋_GB2312"/>
                      <w:sz w:val="21"/>
                    </w:rPr>
                    <w:t>集成平台进行对接，集成平台只提供标准接口（平台支持推送和查询两种模式），由</w:t>
                  </w:r>
                  <w:r>
                    <w:rPr>
                      <w:rFonts w:ascii="仿宋_GB2312" w:hAnsi="仿宋_GB2312" w:cs="仿宋_GB2312" w:eastAsia="仿宋_GB2312"/>
                      <w:sz w:val="21"/>
                    </w:rPr>
                    <w:t>供应商</w:t>
                  </w:r>
                  <w:r>
                    <w:rPr>
                      <w:rFonts w:ascii="仿宋_GB2312" w:hAnsi="仿宋_GB2312" w:cs="仿宋_GB2312" w:eastAsia="仿宋_GB2312"/>
                      <w:sz w:val="21"/>
                    </w:rPr>
                    <w:t>进行自身系统程序修改，实现与集成平台对接，如在用系统存有数据，但集成平台接口或接口字段内容不全的情况下，由集成平台免费增加。</w:t>
                  </w:r>
                </w:p>
                <w:p>
                  <w:pPr>
                    <w:pStyle w:val="null3"/>
                    <w:numPr>
                      <w:ilvl w:val="0"/>
                      <w:numId w:val="1"/>
                    </w:numPr>
                    <w:ind w:left="120"/>
                    <w:jc w:val="both"/>
                  </w:pPr>
                  <w:r>
                    <w:rPr>
                      <w:rFonts w:ascii="仿宋_GB2312" w:hAnsi="仿宋_GB2312" w:cs="仿宋_GB2312" w:eastAsia="仿宋_GB2312"/>
                      <w:sz w:val="21"/>
                    </w:rPr>
                    <w:t>2、功能界面要求：与</w:t>
                  </w:r>
                  <w:r>
                    <w:rPr>
                      <w:rFonts w:ascii="仿宋_GB2312" w:hAnsi="仿宋_GB2312" w:cs="仿宋_GB2312" w:eastAsia="仿宋_GB2312"/>
                      <w:sz w:val="21"/>
                    </w:rPr>
                    <w:t>采购人</w:t>
                  </w:r>
                  <w:r>
                    <w:rPr>
                      <w:rFonts w:ascii="仿宋_GB2312" w:hAnsi="仿宋_GB2312" w:cs="仿宋_GB2312" w:eastAsia="仿宋_GB2312"/>
                      <w:sz w:val="21"/>
                    </w:rPr>
                    <w:t>相关系统对接时，必须满足界面深度融合，医生使用过程需同屏查看操作，数据互通。</w:t>
                  </w:r>
                </w:p>
                <w:p>
                  <w:pPr>
                    <w:pStyle w:val="null3"/>
                    <w:jc w:val="both"/>
                  </w:pPr>
                  <w:r>
                    <w:rPr>
                      <w:rFonts w:ascii="仿宋_GB2312" w:hAnsi="仿宋_GB2312" w:cs="仿宋_GB2312" w:eastAsia="仿宋_GB2312"/>
                      <w:sz w:val="21"/>
                    </w:rPr>
                    <w:t>以上接口、功能界面改造如涉及相关费用（双方），由</w:t>
                  </w:r>
                  <w:r>
                    <w:rPr>
                      <w:rFonts w:ascii="仿宋_GB2312" w:hAnsi="仿宋_GB2312" w:cs="仿宋_GB2312" w:eastAsia="仿宋_GB2312"/>
                      <w:sz w:val="21"/>
                    </w:rPr>
                    <w:t>中标人</w:t>
                  </w:r>
                  <w:r>
                    <w:rPr>
                      <w:rFonts w:ascii="仿宋_GB2312" w:hAnsi="仿宋_GB2312" w:cs="仿宋_GB2312" w:eastAsia="仿宋_GB2312"/>
                      <w:sz w:val="21"/>
                    </w:rPr>
                    <w:t>承担。</w:t>
                  </w:r>
                </w:p>
              </w:tc>
            </w:tr>
            <w:tr>
              <w:tc>
                <w:tcPr>
                  <w:tcW w:type="dxa" w:w="5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评级要求</w:t>
                  </w:r>
                </w:p>
              </w:tc>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需满足电子病历系统功能应用水平分级评价六级、互联互通标准化成熟度测评五乙、智慧服务分级评估四级、智慧管理分级评估四级、信息系统网络安全等级保护三级标准、三甲复审等相关规范要求。因政策性要求和公立医院绩效考核要求，新增功能不能另行收费。软件版本必须使用公司最新版本。</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技术要求前须知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投标人所投产品须满足但不局限于以下规范要求</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书面承诺）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①满足及遵循《全国医院信息化建设标准与规范（试行）》（2018年版）相关要求。</w:t>
            </w:r>
          </w:p>
          <w:p>
            <w:pPr>
              <w:pStyle w:val="null3"/>
              <w:jc w:val="both"/>
            </w:pPr>
            <w:r>
              <w:rPr>
                <w:rFonts w:ascii="仿宋_GB2312" w:hAnsi="仿宋_GB2312" w:cs="仿宋_GB2312" w:eastAsia="仿宋_GB2312"/>
                <w:sz w:val="21"/>
              </w:rPr>
              <w:t>②满足及遵循《智慧医疗分级评价方法及标准》（2025年版）6级标准相关要求。</w:t>
            </w:r>
          </w:p>
          <w:p>
            <w:pPr>
              <w:pStyle w:val="null3"/>
              <w:jc w:val="both"/>
            </w:pPr>
            <w:r>
              <w:rPr>
                <w:rFonts w:ascii="仿宋_GB2312" w:hAnsi="仿宋_GB2312" w:cs="仿宋_GB2312" w:eastAsia="仿宋_GB2312"/>
                <w:sz w:val="21"/>
              </w:rPr>
              <w:t>③满足及遵循《国家医疗健康信息医院信息互联互通标准化成熟度测评方案》（2020年版）五级乙等相关要求。</w:t>
            </w:r>
          </w:p>
          <w:p>
            <w:pPr>
              <w:pStyle w:val="null3"/>
              <w:jc w:val="both"/>
            </w:pPr>
            <w:r>
              <w:rPr>
                <w:rFonts w:ascii="仿宋_GB2312" w:hAnsi="仿宋_GB2312" w:cs="仿宋_GB2312" w:eastAsia="仿宋_GB2312"/>
                <w:sz w:val="21"/>
              </w:rPr>
              <w:t>④满足及遵循《医院智慧服务分级评估标准体系（试行）》（最新版）五级相关要求。</w:t>
            </w:r>
          </w:p>
          <w:p>
            <w:pPr>
              <w:pStyle w:val="null3"/>
              <w:jc w:val="both"/>
            </w:pPr>
            <w:r>
              <w:rPr>
                <w:rFonts w:ascii="仿宋_GB2312" w:hAnsi="仿宋_GB2312" w:cs="仿宋_GB2312" w:eastAsia="仿宋_GB2312"/>
                <w:sz w:val="21"/>
              </w:rPr>
              <w:t>⑤满足及遵循《医院智慧管理分级评估标准体系（试行）》五级相关要求。</w:t>
            </w:r>
          </w:p>
          <w:p>
            <w:pPr>
              <w:pStyle w:val="null3"/>
              <w:jc w:val="both"/>
            </w:pPr>
            <w:r>
              <w:rPr>
                <w:rFonts w:ascii="仿宋_GB2312" w:hAnsi="仿宋_GB2312" w:cs="仿宋_GB2312" w:eastAsia="仿宋_GB2312"/>
                <w:sz w:val="21"/>
              </w:rPr>
              <w:t>⑥满足及遵循《国务院办公厅关于推动公立医院高质量发展的意见》</w:t>
            </w:r>
          </w:p>
          <w:p>
            <w:pPr>
              <w:pStyle w:val="null3"/>
              <w:jc w:val="both"/>
            </w:pPr>
            <w:r>
              <w:rPr>
                <w:rFonts w:ascii="仿宋_GB2312" w:hAnsi="仿宋_GB2312" w:cs="仿宋_GB2312" w:eastAsia="仿宋_GB2312"/>
                <w:sz w:val="21"/>
              </w:rPr>
              <w:t>⑦满足及遵循《国家三级公立医院绩效考核操作手册》（2020版）相关条款。</w:t>
            </w:r>
          </w:p>
          <w:p>
            <w:pPr>
              <w:pStyle w:val="null3"/>
              <w:jc w:val="both"/>
            </w:pPr>
            <w:r>
              <w:rPr>
                <w:rFonts w:ascii="仿宋_GB2312" w:hAnsi="仿宋_GB2312" w:cs="仿宋_GB2312" w:eastAsia="仿宋_GB2312"/>
                <w:sz w:val="21"/>
              </w:rPr>
              <w:t>⑧满足及遵循国家卫健委关于进一步改善医疗服务行动计划相关要求。</w:t>
            </w:r>
          </w:p>
          <w:p>
            <w:pPr>
              <w:pStyle w:val="null3"/>
              <w:jc w:val="both"/>
            </w:pPr>
            <w:r>
              <w:rPr>
                <w:rFonts w:ascii="仿宋_GB2312" w:hAnsi="仿宋_GB2312" w:cs="仿宋_GB2312" w:eastAsia="仿宋_GB2312"/>
                <w:sz w:val="21"/>
              </w:rPr>
              <w:t>⑨满足及遵循《三级医院评审标准实施细则》和《三级妇幼保健院评审标准实施细则》要求。</w:t>
            </w:r>
          </w:p>
          <w:p>
            <w:pPr>
              <w:pStyle w:val="null3"/>
              <w:jc w:val="both"/>
            </w:pPr>
            <w:r>
              <w:rPr>
                <w:rFonts w:ascii="仿宋_GB2312" w:hAnsi="仿宋_GB2312" w:cs="仿宋_GB2312" w:eastAsia="仿宋_GB2312"/>
                <w:sz w:val="21"/>
              </w:rPr>
              <w:t>⑩满足及遵循《陕西省智慧医院建设细则》（2024年版）相关要求。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投标人须保证采购人在使用该货物或其任何一部分时，不受第三方侵权指控，同时不得向第三方泄露采购人提供的任何技术文件和相关信息等。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投标人所投产品必须为最新版本，并且承诺在项目实施过程中无条件满足符合各级各类技术类标准和业务规范变化的需求修改，非增加子系统或功能类的个性化需求，</w:t>
            </w:r>
            <w:r>
              <w:rPr>
                <w:rFonts w:ascii="仿宋_GB2312" w:hAnsi="仿宋_GB2312" w:cs="仿宋_GB2312" w:eastAsia="仿宋_GB2312"/>
                <w:sz w:val="21"/>
              </w:rPr>
              <w:t>供应商</w:t>
            </w:r>
            <w:r>
              <w:rPr>
                <w:rFonts w:ascii="仿宋_GB2312" w:hAnsi="仿宋_GB2312" w:cs="仿宋_GB2312" w:eastAsia="仿宋_GB2312"/>
                <w:sz w:val="21"/>
              </w:rPr>
              <w:t>须一并满足</w:t>
            </w:r>
            <w:r>
              <w:rPr>
                <w:rFonts w:ascii="仿宋_GB2312" w:hAnsi="仿宋_GB2312" w:cs="仿宋_GB2312" w:eastAsia="仿宋_GB2312"/>
                <w:sz w:val="21"/>
              </w:rPr>
              <w:t>（</w:t>
            </w:r>
            <w:r>
              <w:rPr>
                <w:rFonts w:ascii="仿宋_GB2312" w:hAnsi="仿宋_GB2312" w:cs="仿宋_GB2312" w:eastAsia="仿宋_GB2312"/>
                <w:sz w:val="21"/>
              </w:rPr>
              <w:t>提供</w:t>
            </w:r>
            <w:r>
              <w:rPr>
                <w:rFonts w:ascii="仿宋_GB2312" w:hAnsi="仿宋_GB2312" w:cs="仿宋_GB2312" w:eastAsia="仿宋_GB2312"/>
                <w:sz w:val="21"/>
              </w:rPr>
              <w:t>书面承诺）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投标人所投产品必须包含原厂商授权的知识库并在上线前提供原厂商的授权许可使用证明文件。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系统接口：投标报价中需包含本次采购系统与集成平台、系统与电子病历以及系统与数据中心等双方所有接口费用。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投标人</w:t>
            </w:r>
            <w:r>
              <w:rPr>
                <w:rFonts w:ascii="仿宋_GB2312" w:hAnsi="仿宋_GB2312" w:cs="仿宋_GB2312" w:eastAsia="仿宋_GB2312"/>
                <w:sz w:val="21"/>
              </w:rPr>
              <w:t>所投产品支持为采购人后续新建功能预留端口，采购人提供链接，</w:t>
            </w:r>
            <w:r>
              <w:rPr>
                <w:rFonts w:ascii="仿宋_GB2312" w:hAnsi="仿宋_GB2312" w:cs="仿宋_GB2312" w:eastAsia="仿宋_GB2312"/>
                <w:sz w:val="21"/>
              </w:rPr>
              <w:t>供应商</w:t>
            </w:r>
            <w:r>
              <w:rPr>
                <w:rFonts w:ascii="仿宋_GB2312" w:hAnsi="仿宋_GB2312" w:cs="仿宋_GB2312" w:eastAsia="仿宋_GB2312"/>
                <w:sz w:val="21"/>
              </w:rPr>
              <w:t>免费对接。</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实施范围：本项目所有招标采购内容，需覆盖西北妇女儿童采购方同一法人下的所有院区中所有涉及的业务科室，并且不限制终端使用数量。</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实施方案：投标人对本项目情况制定科学、合理可行的实施方案，包括但不限于实施方案的科学性、合理性、规范性和可操作性，包括软件开发、安装调试、测试、试运行、调优等内容，以及组织机构、工作时间进度表、工作程序和步骤、管理和协调方法、关键步骤的思路和要点等；现场实施人员配置不少于两人，并对任务角色进行明确，经过双方确认后方可开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实施情况</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中标人</w:t>
            </w:r>
            <w:r>
              <w:rPr>
                <w:rFonts w:ascii="仿宋_GB2312" w:hAnsi="仿宋_GB2312" w:cs="仿宋_GB2312" w:eastAsia="仿宋_GB2312"/>
                <w:sz w:val="21"/>
              </w:rPr>
              <w:t>需配合采购人完成规范要求的评估工作，包括：协助评价</w:t>
            </w:r>
            <w:r>
              <w:rPr>
                <w:rFonts w:ascii="仿宋_GB2312" w:hAnsi="仿宋_GB2312" w:cs="仿宋_GB2312" w:eastAsia="仿宋_GB2312"/>
                <w:sz w:val="21"/>
              </w:rPr>
              <w:t>/测评/评估标准的解读、数据填报、实证/文审材料准备、现场迎评以及评审后功能整改等技术支持。</w:t>
            </w:r>
          </w:p>
          <w:p>
            <w:pPr>
              <w:pStyle w:val="null3"/>
              <w:jc w:val="both"/>
            </w:pPr>
            <w:r>
              <w:rPr>
                <w:rFonts w:ascii="仿宋_GB2312" w:hAnsi="仿宋_GB2312" w:cs="仿宋_GB2312" w:eastAsia="仿宋_GB2312"/>
                <w:sz w:val="21"/>
              </w:rPr>
              <w:t>注：投标报价需包含上述咨询、技术支持涉及的相关费用。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2）中标人需提供和协助采购人通过信息安全等级保护测评工作，等保测评涉及的本次采购软件系统的改造、升级费用一并包含在本次报价中。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3）中标人必须为后续的新增功能接口的开发提供统一、规范、友好的接口开发机制。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4）一经确定的项目组成员在实施过程中如因中标人单方面需更换，须提供书面说明，经</w:t>
            </w:r>
            <w:r>
              <w:rPr>
                <w:rFonts w:ascii="仿宋_GB2312" w:hAnsi="仿宋_GB2312" w:cs="仿宋_GB2312" w:eastAsia="仿宋_GB2312"/>
                <w:sz w:val="21"/>
              </w:rPr>
              <w:t>采购人</w:t>
            </w:r>
            <w:r>
              <w:rPr>
                <w:rFonts w:ascii="仿宋_GB2312" w:hAnsi="仿宋_GB2312" w:cs="仿宋_GB2312" w:eastAsia="仿宋_GB2312"/>
                <w:sz w:val="21"/>
              </w:rPr>
              <w:t>同意后方可进行调换，项目实施过程中，中标人按照项目所处阶段按需委派相应数量的专业工程师参与项目实施，</w:t>
            </w:r>
            <w:r>
              <w:rPr>
                <w:rFonts w:ascii="仿宋_GB2312" w:hAnsi="仿宋_GB2312" w:cs="仿宋_GB2312" w:eastAsia="仿宋_GB2312"/>
                <w:sz w:val="21"/>
              </w:rPr>
              <w:t>采购人</w:t>
            </w:r>
            <w:r>
              <w:rPr>
                <w:rFonts w:ascii="仿宋_GB2312" w:hAnsi="仿宋_GB2312" w:cs="仿宋_GB2312" w:eastAsia="仿宋_GB2312"/>
                <w:sz w:val="21"/>
              </w:rPr>
              <w:t>保留要求和建议的权利。</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中标</w:t>
            </w:r>
            <w:r>
              <w:rPr>
                <w:rFonts w:ascii="仿宋_GB2312" w:hAnsi="仿宋_GB2312" w:cs="仿宋_GB2312" w:eastAsia="仿宋_GB2312"/>
                <w:sz w:val="21"/>
              </w:rPr>
              <w:t>人对实施团队的管理应充分尊重</w:t>
            </w:r>
            <w:r>
              <w:rPr>
                <w:rFonts w:ascii="仿宋_GB2312" w:hAnsi="仿宋_GB2312" w:cs="仿宋_GB2312" w:eastAsia="仿宋_GB2312"/>
                <w:sz w:val="21"/>
              </w:rPr>
              <w:t>采购人</w:t>
            </w:r>
            <w:r>
              <w:rPr>
                <w:rFonts w:ascii="仿宋_GB2312" w:hAnsi="仿宋_GB2312" w:cs="仿宋_GB2312" w:eastAsia="仿宋_GB2312"/>
                <w:sz w:val="21"/>
              </w:rPr>
              <w:t>对实施团队的评价和考核。如果不满足</w:t>
            </w:r>
            <w:r>
              <w:rPr>
                <w:rFonts w:ascii="仿宋_GB2312" w:hAnsi="仿宋_GB2312" w:cs="仿宋_GB2312" w:eastAsia="仿宋_GB2312"/>
                <w:sz w:val="21"/>
              </w:rPr>
              <w:t>采购人</w:t>
            </w:r>
            <w:r>
              <w:rPr>
                <w:rFonts w:ascii="仿宋_GB2312" w:hAnsi="仿宋_GB2312" w:cs="仿宋_GB2312" w:eastAsia="仿宋_GB2312"/>
                <w:sz w:val="21"/>
              </w:rPr>
              <w:t>的要求，</w:t>
            </w:r>
            <w:r>
              <w:rPr>
                <w:rFonts w:ascii="仿宋_GB2312" w:hAnsi="仿宋_GB2312" w:cs="仿宋_GB2312" w:eastAsia="仿宋_GB2312"/>
                <w:sz w:val="21"/>
              </w:rPr>
              <w:t>采购人</w:t>
            </w:r>
            <w:r>
              <w:rPr>
                <w:rFonts w:ascii="仿宋_GB2312" w:hAnsi="仿宋_GB2312" w:cs="仿宋_GB2312" w:eastAsia="仿宋_GB2312"/>
                <w:sz w:val="21"/>
              </w:rPr>
              <w:t>有权提出更换实施经理在内的人员。</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培训</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1）中标人需提供完整的培训方案，培训的内容、次数和方式由采购人提出，采购人负责提供培训场地、培训电脑和培训人员的召集，中标人负责培训环境的搭建、培训文档的准备、培训的实施等。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2）培训内容：</w:t>
            </w:r>
          </w:p>
          <w:p>
            <w:pPr>
              <w:pStyle w:val="null3"/>
              <w:jc w:val="both"/>
            </w:pPr>
            <w:r>
              <w:rPr>
                <w:rFonts w:ascii="仿宋_GB2312" w:hAnsi="仿宋_GB2312" w:cs="仿宋_GB2312" w:eastAsia="仿宋_GB2312"/>
                <w:sz w:val="21"/>
              </w:rPr>
              <w:t>1）系统软件的用户使用培训，应用软件操作培训；</w:t>
            </w:r>
          </w:p>
          <w:p>
            <w:pPr>
              <w:pStyle w:val="null3"/>
              <w:jc w:val="both"/>
            </w:pPr>
            <w:r>
              <w:rPr>
                <w:rFonts w:ascii="仿宋_GB2312" w:hAnsi="仿宋_GB2312" w:cs="仿宋_GB2312" w:eastAsia="仿宋_GB2312"/>
                <w:sz w:val="21"/>
              </w:rPr>
              <w:t>2）系统管理培训、采购人技术人员维护培训；</w:t>
            </w:r>
          </w:p>
          <w:p>
            <w:pPr>
              <w:pStyle w:val="null3"/>
              <w:jc w:val="both"/>
            </w:pPr>
            <w:r>
              <w:rPr>
                <w:rFonts w:ascii="仿宋_GB2312" w:hAnsi="仿宋_GB2312" w:cs="仿宋_GB2312" w:eastAsia="仿宋_GB2312"/>
                <w:sz w:val="21"/>
              </w:rPr>
              <w:t>3）应用软件操作疑难问题解答。</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rPr>
              <w:t>售后</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）人员要求：项目经理及拟投入人员要求具有</w:t>
            </w:r>
            <w:r>
              <w:rPr>
                <w:rFonts w:ascii="仿宋_GB2312" w:hAnsi="仿宋_GB2312" w:cs="仿宋_GB2312" w:eastAsia="仿宋_GB2312"/>
                <w:sz w:val="21"/>
              </w:rPr>
              <w:t>3年以上项目实施经验，需提供人员名单及相关证明材料（近六个月社会保障资金缴纳证明）；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）根据采购文件提供售后服务方案，各投标人针对免费质保期满后的年服务费率进行报价承诺，原则上不超过</w:t>
            </w:r>
            <w:r>
              <w:rPr>
                <w:rFonts w:ascii="仿宋_GB2312" w:hAnsi="仿宋_GB2312" w:cs="仿宋_GB2312" w:eastAsia="仿宋_GB2312"/>
                <w:sz w:val="21"/>
              </w:rPr>
              <w:t>成交</w:t>
            </w:r>
            <w:r>
              <w:rPr>
                <w:rFonts w:ascii="仿宋_GB2312" w:hAnsi="仿宋_GB2312" w:cs="仿宋_GB2312" w:eastAsia="仿宋_GB2312"/>
                <w:sz w:val="21"/>
              </w:rPr>
              <w:t>金额的</w:t>
            </w:r>
            <w:r>
              <w:rPr>
                <w:rFonts w:ascii="仿宋_GB2312" w:hAnsi="仿宋_GB2312" w:cs="仿宋_GB2312" w:eastAsia="仿宋_GB2312"/>
                <w:sz w:val="21"/>
              </w:rPr>
              <w:t>10%。</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rPr>
              <w:t>其他要求：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投标人</w:t>
            </w:r>
            <w:r>
              <w:rPr>
                <w:rFonts w:ascii="仿宋_GB2312" w:hAnsi="仿宋_GB2312" w:cs="仿宋_GB2312" w:eastAsia="仿宋_GB2312"/>
                <w:sz w:val="21"/>
              </w:rPr>
              <w:t>需对采购人提供或自行提供的系统资产（包括物理</w:t>
            </w:r>
            <w:r>
              <w:rPr>
                <w:rFonts w:ascii="仿宋_GB2312" w:hAnsi="仿宋_GB2312" w:cs="仿宋_GB2312" w:eastAsia="仿宋_GB2312"/>
                <w:sz w:val="21"/>
              </w:rPr>
              <w:t>/云服务器、网络及存储设备）承担全生命周期的安全管理责任，配置符合等保 2.0 三级安全防护要求和甲方指定的安全基线，确保业务的持续性与安全性。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投标人</w:t>
            </w:r>
            <w:r>
              <w:rPr>
                <w:rFonts w:ascii="仿宋_GB2312" w:hAnsi="仿宋_GB2312" w:cs="仿宋_GB2312" w:eastAsia="仿宋_GB2312"/>
                <w:sz w:val="21"/>
              </w:rPr>
              <w:t>应确保交付软件的安全性，并提供符合行业标准的安全评估报告，须包含但不限于代码安全审计报告、漏洞扫描报告、渗透测试报告等。若涉及</w:t>
            </w:r>
            <w:r>
              <w:rPr>
                <w:rFonts w:ascii="仿宋_GB2312" w:hAnsi="仿宋_GB2312" w:cs="仿宋_GB2312" w:eastAsia="仿宋_GB2312"/>
                <w:sz w:val="21"/>
              </w:rPr>
              <w:t>APP须提供APP端数据安全与合规性评估报告、APP业务安全及反欺诈测试报告。</w:t>
            </w:r>
          </w:p>
          <w:p>
            <w:pPr>
              <w:pStyle w:val="null3"/>
              <w:jc w:val="both"/>
            </w:pPr>
            <w:r>
              <w:rPr>
                <w:rFonts w:ascii="仿宋_GB2312" w:hAnsi="仿宋_GB2312" w:cs="仿宋_GB2312" w:eastAsia="仿宋_GB2312"/>
                <w:sz w:val="21"/>
              </w:rPr>
              <w:t>投标人</w:t>
            </w:r>
            <w:r>
              <w:rPr>
                <w:rFonts w:ascii="仿宋_GB2312" w:hAnsi="仿宋_GB2312" w:cs="仿宋_GB2312" w:eastAsia="仿宋_GB2312"/>
                <w:sz w:val="21"/>
              </w:rPr>
              <w:t>须对</w:t>
            </w:r>
            <w:r>
              <w:rPr>
                <w:rFonts w:ascii="仿宋_GB2312" w:hAnsi="仿宋_GB2312" w:cs="仿宋_GB2312" w:eastAsia="仿宋_GB2312"/>
                <w:sz w:val="21"/>
              </w:rPr>
              <w:t>采购人</w:t>
            </w:r>
            <w:r>
              <w:rPr>
                <w:rFonts w:ascii="仿宋_GB2312" w:hAnsi="仿宋_GB2312" w:cs="仿宋_GB2312" w:eastAsia="仿宋_GB2312"/>
                <w:sz w:val="21"/>
              </w:rPr>
              <w:t>提供或自行提供的系统资产（包括物理</w:t>
            </w:r>
            <w:r>
              <w:rPr>
                <w:rFonts w:ascii="仿宋_GB2312" w:hAnsi="仿宋_GB2312" w:cs="仿宋_GB2312" w:eastAsia="仿宋_GB2312"/>
                <w:sz w:val="21"/>
              </w:rPr>
              <w:t>/云服务器、网络及存储设备）承担全生命周期的安全管理责任，配置符合等保 2.0 三级安全防护要求和</w:t>
            </w:r>
            <w:r>
              <w:rPr>
                <w:rFonts w:ascii="仿宋_GB2312" w:hAnsi="仿宋_GB2312" w:cs="仿宋_GB2312" w:eastAsia="仿宋_GB2312"/>
                <w:sz w:val="21"/>
              </w:rPr>
              <w:t>采购人</w:t>
            </w:r>
            <w:r>
              <w:rPr>
                <w:rFonts w:ascii="仿宋_GB2312" w:hAnsi="仿宋_GB2312" w:cs="仿宋_GB2312" w:eastAsia="仿宋_GB2312"/>
                <w:sz w:val="21"/>
              </w:rPr>
              <w:t>指定的安全基线，确保业务的持续性与安全性。</w:t>
            </w:r>
          </w:p>
          <w:p>
            <w:pPr>
              <w:pStyle w:val="null3"/>
              <w:jc w:val="both"/>
            </w:pPr>
            <w:r>
              <w:rPr>
                <w:rFonts w:ascii="仿宋_GB2312" w:hAnsi="仿宋_GB2312" w:cs="仿宋_GB2312" w:eastAsia="仿宋_GB2312"/>
                <w:sz w:val="21"/>
              </w:rPr>
              <w:t>投标人</w:t>
            </w:r>
            <w:r>
              <w:rPr>
                <w:rFonts w:ascii="仿宋_GB2312" w:hAnsi="仿宋_GB2312" w:cs="仿宋_GB2312" w:eastAsia="仿宋_GB2312"/>
                <w:sz w:val="21"/>
              </w:rPr>
              <w:t>应积极无条件配合</w:t>
            </w:r>
            <w:r>
              <w:rPr>
                <w:rFonts w:ascii="仿宋_GB2312" w:hAnsi="仿宋_GB2312" w:cs="仿宋_GB2312" w:eastAsia="仿宋_GB2312"/>
                <w:sz w:val="21"/>
              </w:rPr>
              <w:t>采购人</w:t>
            </w:r>
            <w:r>
              <w:rPr>
                <w:rFonts w:ascii="仿宋_GB2312" w:hAnsi="仿宋_GB2312" w:cs="仿宋_GB2312" w:eastAsia="仿宋_GB2312"/>
                <w:sz w:val="21"/>
              </w:rPr>
              <w:t>开展（包括但不限于物理</w:t>
            </w:r>
            <w:r>
              <w:rPr>
                <w:rFonts w:ascii="仿宋_GB2312" w:hAnsi="仿宋_GB2312" w:cs="仿宋_GB2312" w:eastAsia="仿宋_GB2312"/>
                <w:sz w:val="21"/>
              </w:rPr>
              <w:t>/云服务器、网络及存储设备、中间件、数据库、操作系统等）的安全审计、安全加固、渗透测试、应急响应等安全工作，并提供必要的权限支持，且在 48 小时内提交书面整改计划，发生重大安全事件时，乙方应立即响应并协助取证，确保事件快速处置并将影响降到最低。</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3）如</w:t>
            </w:r>
            <w:r>
              <w:rPr>
                <w:rFonts w:ascii="仿宋_GB2312" w:hAnsi="仿宋_GB2312" w:cs="仿宋_GB2312" w:eastAsia="仿宋_GB2312"/>
                <w:sz w:val="21"/>
              </w:rPr>
              <w:t>投标人</w:t>
            </w:r>
            <w:r>
              <w:rPr>
                <w:rFonts w:ascii="仿宋_GB2312" w:hAnsi="仿宋_GB2312" w:cs="仿宋_GB2312" w:eastAsia="仿宋_GB2312"/>
                <w:sz w:val="21"/>
              </w:rPr>
              <w:t>拒绝配合安全合规工作或因其行为导致安全事件，采购人有权解除合同，一切损失由</w:t>
            </w:r>
            <w:r>
              <w:rPr>
                <w:rFonts w:ascii="仿宋_GB2312" w:hAnsi="仿宋_GB2312" w:cs="仿宋_GB2312" w:eastAsia="仿宋_GB2312"/>
                <w:sz w:val="21"/>
              </w:rPr>
              <w:t>投标人</w:t>
            </w:r>
            <w:r>
              <w:rPr>
                <w:rFonts w:ascii="仿宋_GB2312" w:hAnsi="仿宋_GB2312" w:cs="仿宋_GB2312" w:eastAsia="仿宋_GB2312"/>
                <w:sz w:val="21"/>
              </w:rPr>
              <w:t>承担，并追究法律责任。</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rPr>
              <w:t>本项目预算金额</w:t>
            </w:r>
            <w:r>
              <w:rPr>
                <w:rFonts w:ascii="仿宋_GB2312" w:hAnsi="仿宋_GB2312" w:cs="仿宋_GB2312" w:eastAsia="仿宋_GB2312"/>
                <w:sz w:val="21"/>
              </w:rPr>
              <w:t>59万元，含接口费9万元。</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交货时间:同签订后90天内完成安装、调试、培训、上线工作。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西北妇女儿童医院指定地点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中标人完成合同及招标文件规定以及投标文件响应的全部内容，采购人确认系统正式上线运行并验收合格后，中标人提供符合税法规定的全额正式发票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完成合同及招标文件规定以及投标文件响应的全部内容，并提出正式上线验收申请，采购人组织相关人员（必要时组成院外专家组）进行项目验收，出具验收报告。正式验收完成后，须继续配合完成相关评级内容。 （2）系统上线后，中标人不但向采购人用户提供系统使用培训，还需提供技术人员培训，以保证采购人工程师能够掌握软件表结构、数据业务流等技术信息。 （3）验收资料：在项目验收时，中标人需提供但不限于项目实施方案、需求说明书、使用人员签字的培训记录、系统操作说明、系统维护说明、验收申请、数据业务流、数据字典及表结构说明、用户手册、数据库用户名及密码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质保期：项目质保期从正式上线验收合格时间开始计算，三年免费质保期。</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双方在履行合同过程中，若发生争议，可以协商解决。如协商未果，双方向采购人所在地人民法院提起诉讼。中标人如果没有按照本合同约定履行合同，采购人有权终止合同。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贰份，纸质投标文件正副本分别胶装，标明供应商名称密封递交，递交截止时间同在线递交电子投标文件截止时间一致， 线下递交文件地点： 西安市雁塔区科技路 30号合力紫郡 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提供2025年1月（含1月）以后任意一个月的依法缴纳税收的相关凭据（时间以税款所属时期为准），凭据应有税务机关或代收机关的公章或业务专用章。依法免税或无须缴纳税收的供应商，应提供相应证明文件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提供2025年1月（含1月）以后任意一个月的社会保障资金缴存单据或社保机构开具的社会保险参保缴费情况证明。依法不需要缴纳社会保障资金的供应商应提供相关文件证明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w:t>
            </w:r>
          </w:p>
        </w:tc>
        <w:tc>
          <w:tcPr>
            <w:tcW w:type="dxa" w:w="1661"/>
          </w:tcPr>
          <w:p>
            <w:pPr>
              <w:pStyle w:val="null3"/>
            </w:pPr>
            <w:r>
              <w:rPr>
                <w:rFonts w:ascii="仿宋_GB2312" w:hAnsi="仿宋_GB2312" w:cs="仿宋_GB2312" w:eastAsia="仿宋_GB2312"/>
              </w:rPr>
              <w:t>供应商资格要求.docx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（1）《政府采购促进中小企业发展管理办法》（财库〔2020〕46 号）； （2）《财政部 司法部关于政府采购支持监狱企业发展有关问题的通知》（财库〔2014〕68 号）； （3）《国务院办公厅关于建立政府强制采购节能产品制度的通知》（国办发〔2007〕51 号）； （4）《财政部 国家发展改革委关于印发〈节能产品政府采购实施意见〉的通知》（财库〔2004〕185 号）； （5）《财政部环保总局关于环境标志产品政府采购实施的意见》（财库〔2006〕90 号）； （6）《三部门联合发布关于促进残疾人就业政府采购政策的通知》（财库〔2017〕141 号）； （7）《财政部 发展改革委 生态环境部 市场监管总局关于调整优化节能产品、环境标志产品政府采购执行机制的通知》（财库〔2019〕9 号）； （8）陕西省财政厅关于印发《陕西省中小企业政府采购信用融资办法》（陕财办采〔2018〕23号）； （9）《财政部 农业农村部 国家乡村振兴局关于运用政府采购政策支持乡村产业振兴的通知》（财库〔2021〕19号）。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开标一览表及分项报价表.docx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投标文件的交货时间、质保期</w:t>
            </w:r>
          </w:p>
        </w:tc>
        <w:tc>
          <w:tcPr>
            <w:tcW w:type="dxa" w:w="3322"/>
          </w:tcPr>
          <w:p>
            <w:pPr>
              <w:pStyle w:val="null3"/>
            </w:pPr>
            <w:r>
              <w:rPr>
                <w:rFonts w:ascii="仿宋_GB2312" w:hAnsi="仿宋_GB2312" w:cs="仿宋_GB2312" w:eastAsia="仿宋_GB2312"/>
              </w:rPr>
              <w:t>投标文件的交货时间、质保期满足招标文件要求的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投标文件的签署、盖章符合招标文件要求的</w:t>
            </w:r>
          </w:p>
        </w:tc>
        <w:tc>
          <w:tcPr>
            <w:tcW w:type="dxa" w:w="1661"/>
          </w:tcPr>
          <w:p>
            <w:pPr>
              <w:pStyle w:val="null3"/>
            </w:pPr>
            <w:r>
              <w:rPr>
                <w:rFonts w:ascii="仿宋_GB2312" w:hAnsi="仿宋_GB2312" w:cs="仿宋_GB2312" w:eastAsia="仿宋_GB2312"/>
              </w:rPr>
              <w:t>开标一览表 供应商资格要求.docx 开标一览表及分项报价表.docx 投标函 商务应答表 合同响应偏离表.docx 标的清单 投标文件封面 产品技术参数表.docx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w:t>
            </w:r>
          </w:p>
        </w:tc>
        <w:tc>
          <w:tcPr>
            <w:tcW w:type="dxa" w:w="3322"/>
          </w:tcPr>
          <w:p>
            <w:pPr>
              <w:pStyle w:val="null3"/>
            </w:pPr>
            <w:r>
              <w:rPr>
                <w:rFonts w:ascii="仿宋_GB2312" w:hAnsi="仿宋_GB2312" w:cs="仿宋_GB2312" w:eastAsia="仿宋_GB2312"/>
              </w:rPr>
              <w:t>投标文件不存在法律、法规和招标文件规定的其他无效情形的</w:t>
            </w:r>
          </w:p>
        </w:tc>
        <w:tc>
          <w:tcPr>
            <w:tcW w:type="dxa" w:w="1661"/>
          </w:tcPr>
          <w:p>
            <w:pPr>
              <w:pStyle w:val="null3"/>
            </w:pPr>
            <w:r>
              <w:rPr>
                <w:rFonts w:ascii="仿宋_GB2312" w:hAnsi="仿宋_GB2312" w:cs="仿宋_GB2312" w:eastAsia="仿宋_GB2312"/>
              </w:rPr>
              <w:t>投标函 供应商认为有必要说明的其他问题.docx 合同响应偏离表.docx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不同供应商的投标文件是否由同一单位或者个人编制</w:t>
            </w:r>
          </w:p>
        </w:tc>
        <w:tc>
          <w:tcPr>
            <w:tcW w:type="dxa" w:w="3322"/>
          </w:tcPr>
          <w:p>
            <w:pPr>
              <w:pStyle w:val="null3"/>
            </w:pPr>
            <w:r>
              <w:rPr>
                <w:rFonts w:ascii="仿宋_GB2312" w:hAnsi="仿宋_GB2312" w:cs="仿宋_GB2312" w:eastAsia="仿宋_GB2312"/>
              </w:rPr>
              <w:t>不同供应商的投标文件不是由同一单位或者个人编制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不同供应商是否委托同一单位或者个人办理投标事宜</w:t>
            </w:r>
          </w:p>
        </w:tc>
        <w:tc>
          <w:tcPr>
            <w:tcW w:type="dxa" w:w="3322"/>
          </w:tcPr>
          <w:p>
            <w:pPr>
              <w:pStyle w:val="null3"/>
            </w:pPr>
            <w:r>
              <w:rPr>
                <w:rFonts w:ascii="仿宋_GB2312" w:hAnsi="仿宋_GB2312" w:cs="仿宋_GB2312" w:eastAsia="仿宋_GB2312"/>
              </w:rPr>
              <w:t>不同供应商不是委托同一单位或者个人办理投标事宜</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不同供应商的投标文件载明的项目管理成员或者联系人员是否为同一人</w:t>
            </w:r>
          </w:p>
        </w:tc>
        <w:tc>
          <w:tcPr>
            <w:tcW w:type="dxa" w:w="3322"/>
          </w:tcPr>
          <w:p>
            <w:pPr>
              <w:pStyle w:val="null3"/>
            </w:pPr>
            <w:r>
              <w:rPr>
                <w:rFonts w:ascii="仿宋_GB2312" w:hAnsi="仿宋_GB2312" w:cs="仿宋_GB2312" w:eastAsia="仿宋_GB2312"/>
              </w:rPr>
              <w:t>不同供应商的投标文件载明的项目管理成员或者联系人员不是为同一人</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不同供应商的投标文件是否异常-致或者投标报价呈规律性差异</w:t>
            </w:r>
          </w:p>
        </w:tc>
        <w:tc>
          <w:tcPr>
            <w:tcW w:type="dxa" w:w="3322"/>
          </w:tcPr>
          <w:p>
            <w:pPr>
              <w:pStyle w:val="null3"/>
            </w:pPr>
            <w:r>
              <w:rPr>
                <w:rFonts w:ascii="仿宋_GB2312" w:hAnsi="仿宋_GB2312" w:cs="仿宋_GB2312" w:eastAsia="仿宋_GB2312"/>
              </w:rPr>
              <w:t>不同供应商的投标文件未发现异常-致或者投标报价呈规律性差异</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不同供应商的投标保证金是否从同单位或者个人的账户转出</w:t>
            </w:r>
          </w:p>
        </w:tc>
        <w:tc>
          <w:tcPr>
            <w:tcW w:type="dxa" w:w="3322"/>
          </w:tcPr>
          <w:p>
            <w:pPr>
              <w:pStyle w:val="null3"/>
            </w:pPr>
            <w:r>
              <w:rPr>
                <w:rFonts w:ascii="仿宋_GB2312" w:hAnsi="仿宋_GB2312" w:cs="仿宋_GB2312" w:eastAsia="仿宋_GB2312"/>
              </w:rPr>
              <w:t>不同供应商的投标保证金不是从同一单位或者个人的账户转出</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不同供应商的响应文件相互混装。</w:t>
            </w:r>
          </w:p>
        </w:tc>
        <w:tc>
          <w:tcPr>
            <w:tcW w:type="dxa" w:w="3322"/>
          </w:tcPr>
          <w:p>
            <w:pPr>
              <w:pStyle w:val="null3"/>
            </w:pPr>
            <w:r>
              <w:rPr>
                <w:rFonts w:ascii="仿宋_GB2312" w:hAnsi="仿宋_GB2312" w:cs="仿宋_GB2312" w:eastAsia="仿宋_GB2312"/>
              </w:rPr>
              <w:t>不同供应商的响应文件相互混装。</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响应并满足技术要求中“★”项参数需求并按要求提供相关证明材料（如书面承诺等）。</w:t>
            </w:r>
          </w:p>
        </w:tc>
        <w:tc>
          <w:tcPr>
            <w:tcW w:type="dxa" w:w="1661"/>
          </w:tcPr>
          <w:p>
            <w:pPr>
              <w:pStyle w:val="null3"/>
            </w:pPr>
            <w:r>
              <w:rPr>
                <w:rFonts w:ascii="仿宋_GB2312" w:hAnsi="仿宋_GB2312" w:cs="仿宋_GB2312" w:eastAsia="仿宋_GB2312"/>
              </w:rPr>
              <w:t>商务应答表 产品技术参数表.docx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基本分（15分）：除演示参数外，其余参数完全符合、响应招标文件要求，没有负偏离计15分，“▲”参数每负偏离一项扣1分，其余参数每负偏离一项扣0.5分，扣完为止。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针对本项目提供具体可行的技术方案，内容包含：①需求分析定位性②技术路线先进性、稳定性；③技术路线安全性、可靠性；④重点、难点及解决措施；评审标准：方案各部分内容全面详细、阐述条例清晰详尽、符合本项目采购需求得8分；评审内容每缺一项扣2分，扣完为止；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针对本项目有整体实施方案，①总体实施方案；②计划进度安排；③项目团队配备；④项目实施过程中质量保证；⑤安装调试方案；⑥项目验收方案；⑦重难点分析；⑧应急预案；⑨系统建设方案；⑩系统数据对接。评审标准：方案各部分内容全面详细、阐述条例清晰详尽、符合本项目采购需求得20分；评审内容每缺一项扣2分，扣完为止；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整体实施方案.docx</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投标人须现场进行系统功能演示，演示时长不超过15分钟。演示内容包含： 1.统计分析：（1）支持统计分析指标及动态图形展示，根据医院实际情况及质量管理要求进行定制，做出日间手术运营分析报告。（2）支持根据国家针对日间手术医疗质量数据上报的要求进行多系统的数据抽取，清洗，转换等支持数据上报。 2.随访宣教：（1）支持获取HIS出院小结等信息,维护随访模板维护随访任务的制定，自动生成当天待随访计划;（2）支持手术后制定个体化随访内容及随访时间;（3）支持根据具体病种、术式维护宣教模板，将相关信息传递患者端，可查询随访宣教患者阅读状态，根据随访反馈结果做针对性的随访，同时随访问卷提供异常问卷提醒，准确定位异常患者，便于及时处理。 3.基本信息维护：支持根据医院需求，设置基础信息，标准字典，系统配置，兼容医院一院多区管理服务模式 4.准入权限维护：支持医生、病种、术式进行准入管理，系统内置目前国家推荐的日间术种。 从演示流畅度、系统操作便捷性、界面设计合理性、功能完整性等方面进行综合评价。 满分10分，内容存在1处瑕疵扣2.5分;扣完为止，未提供演示不计分。 瑕疵指：系统操作过于复杂，界面设置不合理，功能参数不符合招标文件要求，演示中系统出现明显延迟、卡顿次数≥2次，有功能未演示的。 备注：演示供应商须在投标文件递交截止前，携带演示所需设备到西安市雁塔区科技路30号合力紫郡B座21层指定会议室进行演示，演示环境自行搭建，演示所需设备及所需网络须由供应商自行准备，现场真实系统演示，不接受PPT、Demo、动画、视频或其他非真实系统形式演示</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针对本项目有具体的培训方案，该方案包含：①培训时间、培训人数、培训人员、培训方式； ②培训内容应包括所提供产品的原理和技术性能、操作维护方法、安装调试、排除故障等各个方面。评审标准：方案各部分内容全面详细、阐述条例清晰详尽、符合本项目采购需求得4分；评审内容每缺一项扣2分，扣完为止；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该方案包含：①售后服务网点的设定；②拟投入售后服务人员配置情况；③日常维护保养；④项目交付用户后出现故障响应时间及措施。评审标准：方案各部分内容全面详细、阐述条例清晰详尽、符合本项目采购需求得8分；评审内容每缺一项扣2分，扣完为止；每有一处有缺陷扣1分，扣完为止。未提供不得分。（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价格分统一采用低价优先法计算，即满足招标文件要求且价格最低的投标报价为评标基准价，其价格分为满分。其他供应商的价格分统一按照下列公式计算：价格分=(评标基准价／投标报价)×报价分值 注：计算分数时四舍五入取小 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开标一览表及分项报价表.docx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开标一览表及分项报价表.docx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详见附件：整体实施方案.docx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详见附件：合同响应偏离表.docx</w:t>
      </w:r>
    </w:p>
    <w:p>
      <w:pPr>
        <w:pStyle w:val="null3"/>
        <w:ind w:firstLine="960"/>
      </w:pPr>
      <w:r>
        <w:rPr>
          <w:rFonts w:ascii="仿宋_GB2312" w:hAnsi="仿宋_GB2312" w:cs="仿宋_GB2312" w:eastAsia="仿宋_GB2312"/>
        </w:rPr>
        <w:t>详见附件：开标一览表及分项报价表.docx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