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版本号：DQB-2025061-CS20250917001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专项展览宣传服务项目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DQB-2025061-CS</w:t>
      </w:r>
      <w:r>
        <w:br/>
      </w:r>
      <w:r>
        <w:br/>
      </w:r>
      <w:r>
        <w:br/>
      </w:r>
    </w:p>
    <w:p>
      <w:pPr>
        <w:pStyle w:val="null3"/>
        <w:jc w:val="center"/>
        <w:outlineLvl w:val="2"/>
      </w:pPr>
      <w:r>
        <w:rPr>
          <w:rFonts w:ascii="仿宋_GB2312" w:hAnsi="仿宋_GB2312" w:cs="仿宋_GB2312" w:eastAsia="仿宋_GB2312"/>
          <w:sz w:val="28"/>
          <w:b/>
        </w:rPr>
        <w:t>陕西省美术博物馆</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陕西省美术博物馆</w:t>
      </w:r>
      <w:r>
        <w:rPr>
          <w:rFonts w:ascii="仿宋_GB2312" w:hAnsi="仿宋_GB2312" w:cs="仿宋_GB2312" w:eastAsia="仿宋_GB2312"/>
        </w:rPr>
        <w:t>委托，拟对</w:t>
      </w:r>
      <w:r>
        <w:rPr>
          <w:rFonts w:ascii="仿宋_GB2312" w:hAnsi="仿宋_GB2312" w:cs="仿宋_GB2312" w:eastAsia="仿宋_GB2312"/>
        </w:rPr>
        <w:t>专项展览宣传服务项目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DQB-2025061-CS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专项展览宣传服务项目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专项展览宣传服务项目.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采购包1（专项展览宣传服务）：属于专门面向中小企业采购。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11、特殊资质：具有有效的《印刷经营许可证》。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陕西省美术博物馆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长安北路14号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029-85268292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银行账号：52880188000139610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代理服务费收费标准：采购代理服务费中标金额100万以下按照费率的1.5%计取（核算代理服务费低于5000元时按5000元收取）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陕西省美术博物馆</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陕西省美术博物馆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陕西省美术博物馆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按照合同条款执行抽验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时代长安——陕西当代中国花鸟画研究展”是首次对陕西当代中国花鸟画进行全面的、系统的、专题性地研究与展示，是陕西省美术博物馆继“时代长安——陕西当代中国人物画研究展”“时代长安——陕西当代中国山水画研究展”之后“时代长安”系列第3届展览。本次展览展出约52人近200件作品，全部展出作品的创作时间跨越半个世纪，重点对陕西中国花鸟画各阶段代表画家进行个案研究，同时呈现陕西当代花鸟画整体样貌。本项目为该展览部分宣传服务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一、项目概况</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时代长安</w:t>
            </w:r>
            <w:r>
              <w:rPr>
                <w:rFonts w:ascii="仿宋_GB2312" w:hAnsi="仿宋_GB2312" w:cs="仿宋_GB2312" w:eastAsia="仿宋_GB2312"/>
                <w:sz w:val="21"/>
              </w:rPr>
              <w:t>——</w:t>
            </w:r>
            <w:r>
              <w:rPr>
                <w:rFonts w:ascii="仿宋_GB2312" w:hAnsi="仿宋_GB2312" w:cs="仿宋_GB2312" w:eastAsia="仿宋_GB2312"/>
                <w:sz w:val="21"/>
              </w:rPr>
              <w:t>陕西当代中国花鸟画研究展</w:t>
            </w:r>
            <w:r>
              <w:rPr>
                <w:rFonts w:ascii="仿宋_GB2312" w:hAnsi="仿宋_GB2312" w:cs="仿宋_GB2312" w:eastAsia="仿宋_GB2312"/>
                <w:sz w:val="21"/>
              </w:rPr>
              <w:t>”</w:t>
            </w:r>
            <w:r>
              <w:rPr>
                <w:rFonts w:ascii="仿宋_GB2312" w:hAnsi="仿宋_GB2312" w:cs="仿宋_GB2312" w:eastAsia="仿宋_GB2312"/>
                <w:sz w:val="21"/>
              </w:rPr>
              <w:t>是首次对陕西当代中国花鸟画进行全面的、系统的、专题性地研究与展示，是陕西省美术博物馆继</w:t>
            </w:r>
            <w:r>
              <w:rPr>
                <w:rFonts w:ascii="仿宋_GB2312" w:hAnsi="仿宋_GB2312" w:cs="仿宋_GB2312" w:eastAsia="仿宋_GB2312"/>
                <w:sz w:val="21"/>
              </w:rPr>
              <w:t>“</w:t>
            </w:r>
            <w:r>
              <w:rPr>
                <w:rFonts w:ascii="仿宋_GB2312" w:hAnsi="仿宋_GB2312" w:cs="仿宋_GB2312" w:eastAsia="仿宋_GB2312"/>
                <w:sz w:val="21"/>
              </w:rPr>
              <w:t>时代长安</w:t>
            </w:r>
            <w:r>
              <w:rPr>
                <w:rFonts w:ascii="仿宋_GB2312" w:hAnsi="仿宋_GB2312" w:cs="仿宋_GB2312" w:eastAsia="仿宋_GB2312"/>
                <w:sz w:val="21"/>
              </w:rPr>
              <w:t>——</w:t>
            </w:r>
            <w:r>
              <w:rPr>
                <w:rFonts w:ascii="仿宋_GB2312" w:hAnsi="仿宋_GB2312" w:cs="仿宋_GB2312" w:eastAsia="仿宋_GB2312"/>
                <w:sz w:val="21"/>
              </w:rPr>
              <w:t>陕西当代中国人物画研究展</w:t>
            </w:r>
            <w:r>
              <w:rPr>
                <w:rFonts w:ascii="仿宋_GB2312" w:hAnsi="仿宋_GB2312" w:cs="仿宋_GB2312" w:eastAsia="仿宋_GB2312"/>
                <w:sz w:val="21"/>
              </w:rPr>
              <w:t>”“</w:t>
            </w:r>
            <w:r>
              <w:rPr>
                <w:rFonts w:ascii="仿宋_GB2312" w:hAnsi="仿宋_GB2312" w:cs="仿宋_GB2312" w:eastAsia="仿宋_GB2312"/>
                <w:sz w:val="21"/>
              </w:rPr>
              <w:t>时代长安</w:t>
            </w:r>
            <w:r>
              <w:rPr>
                <w:rFonts w:ascii="仿宋_GB2312" w:hAnsi="仿宋_GB2312" w:cs="仿宋_GB2312" w:eastAsia="仿宋_GB2312"/>
                <w:sz w:val="21"/>
              </w:rPr>
              <w:t>——</w:t>
            </w:r>
            <w:r>
              <w:rPr>
                <w:rFonts w:ascii="仿宋_GB2312" w:hAnsi="仿宋_GB2312" w:cs="仿宋_GB2312" w:eastAsia="仿宋_GB2312"/>
                <w:sz w:val="21"/>
              </w:rPr>
              <w:t>陕西当代中国山水画研究展</w:t>
            </w:r>
            <w:r>
              <w:rPr>
                <w:rFonts w:ascii="仿宋_GB2312" w:hAnsi="仿宋_GB2312" w:cs="仿宋_GB2312" w:eastAsia="仿宋_GB2312"/>
                <w:sz w:val="21"/>
              </w:rPr>
              <w:t>”</w:t>
            </w:r>
            <w:r>
              <w:rPr>
                <w:rFonts w:ascii="仿宋_GB2312" w:hAnsi="仿宋_GB2312" w:cs="仿宋_GB2312" w:eastAsia="仿宋_GB2312"/>
                <w:sz w:val="21"/>
              </w:rPr>
              <w:t>之后</w:t>
            </w:r>
            <w:r>
              <w:rPr>
                <w:rFonts w:ascii="仿宋_GB2312" w:hAnsi="仿宋_GB2312" w:cs="仿宋_GB2312" w:eastAsia="仿宋_GB2312"/>
                <w:sz w:val="21"/>
              </w:rPr>
              <w:t>“</w:t>
            </w:r>
            <w:r>
              <w:rPr>
                <w:rFonts w:ascii="仿宋_GB2312" w:hAnsi="仿宋_GB2312" w:cs="仿宋_GB2312" w:eastAsia="仿宋_GB2312"/>
                <w:sz w:val="21"/>
              </w:rPr>
              <w:t>时代长安</w:t>
            </w:r>
            <w:r>
              <w:rPr>
                <w:rFonts w:ascii="仿宋_GB2312" w:hAnsi="仿宋_GB2312" w:cs="仿宋_GB2312" w:eastAsia="仿宋_GB2312"/>
                <w:sz w:val="21"/>
              </w:rPr>
              <w:t>”</w:t>
            </w:r>
            <w:r>
              <w:rPr>
                <w:rFonts w:ascii="仿宋_GB2312" w:hAnsi="仿宋_GB2312" w:cs="仿宋_GB2312" w:eastAsia="仿宋_GB2312"/>
                <w:sz w:val="21"/>
              </w:rPr>
              <w:t>系列第</w:t>
            </w:r>
            <w:r>
              <w:rPr>
                <w:rFonts w:ascii="仿宋_GB2312" w:hAnsi="仿宋_GB2312" w:cs="仿宋_GB2312" w:eastAsia="仿宋_GB2312"/>
                <w:sz w:val="21"/>
              </w:rPr>
              <w:t>3</w:t>
            </w:r>
            <w:r>
              <w:rPr>
                <w:rFonts w:ascii="仿宋_GB2312" w:hAnsi="仿宋_GB2312" w:cs="仿宋_GB2312" w:eastAsia="仿宋_GB2312"/>
                <w:sz w:val="21"/>
              </w:rPr>
              <w:t>届展览。本次展览展出约</w:t>
            </w:r>
            <w:r>
              <w:rPr>
                <w:rFonts w:ascii="仿宋_GB2312" w:hAnsi="仿宋_GB2312" w:cs="仿宋_GB2312" w:eastAsia="仿宋_GB2312"/>
                <w:sz w:val="21"/>
              </w:rPr>
              <w:t>52</w:t>
            </w:r>
            <w:r>
              <w:rPr>
                <w:rFonts w:ascii="仿宋_GB2312" w:hAnsi="仿宋_GB2312" w:cs="仿宋_GB2312" w:eastAsia="仿宋_GB2312"/>
                <w:sz w:val="21"/>
              </w:rPr>
              <w:t>人近</w:t>
            </w:r>
            <w:r>
              <w:rPr>
                <w:rFonts w:ascii="仿宋_GB2312" w:hAnsi="仿宋_GB2312" w:cs="仿宋_GB2312" w:eastAsia="仿宋_GB2312"/>
                <w:sz w:val="21"/>
              </w:rPr>
              <w:t>200</w:t>
            </w:r>
            <w:r>
              <w:rPr>
                <w:rFonts w:ascii="仿宋_GB2312" w:hAnsi="仿宋_GB2312" w:cs="仿宋_GB2312" w:eastAsia="仿宋_GB2312"/>
                <w:sz w:val="21"/>
              </w:rPr>
              <w:t>件作品，全部展出作品的创作时间跨越半个世纪，重点对陕西中国花鸟画各阶段代表画家进行个案研究，同时呈现陕西当代花鸟画整体样貌。本项目为该展览部分宣传服务内容。</w:t>
            </w:r>
          </w:p>
          <w:p>
            <w:pPr>
              <w:pStyle w:val="null3"/>
              <w:ind w:firstLine="422"/>
              <w:jc w:val="left"/>
            </w:pPr>
            <w:r>
              <w:rPr>
                <w:rFonts w:ascii="仿宋_GB2312" w:hAnsi="仿宋_GB2312" w:cs="仿宋_GB2312" w:eastAsia="仿宋_GB2312"/>
                <w:sz w:val="21"/>
                <w:b/>
              </w:rPr>
              <w:t>二、内容要求</w:t>
            </w:r>
          </w:p>
          <w:p>
            <w:pPr>
              <w:pStyle w:val="null3"/>
              <w:ind w:firstLine="420"/>
              <w:jc w:val="left"/>
            </w:pPr>
            <w:r>
              <w:rPr>
                <w:rFonts w:ascii="仿宋_GB2312" w:hAnsi="仿宋_GB2312" w:cs="仿宋_GB2312" w:eastAsia="仿宋_GB2312"/>
                <w:sz w:val="21"/>
              </w:rPr>
              <w:t>时代长安宣传图册的设计与制作。包含但不限于宣传图册、主题海报与其他延伸物料；其中：数字化采集和修复</w:t>
            </w:r>
            <w:r>
              <w:rPr>
                <w:rFonts w:ascii="仿宋_GB2312" w:hAnsi="仿宋_GB2312" w:cs="仿宋_GB2312" w:eastAsia="仿宋_GB2312"/>
                <w:sz w:val="21"/>
              </w:rPr>
              <w:t>200</w:t>
            </w:r>
            <w:r>
              <w:rPr>
                <w:rFonts w:ascii="仿宋_GB2312" w:hAnsi="仿宋_GB2312" w:cs="仿宋_GB2312" w:eastAsia="仿宋_GB2312"/>
                <w:sz w:val="21"/>
              </w:rPr>
              <w:t>幅，宣传图册数量为</w:t>
            </w:r>
            <w:r>
              <w:rPr>
                <w:rFonts w:ascii="仿宋_GB2312" w:hAnsi="仿宋_GB2312" w:cs="仿宋_GB2312" w:eastAsia="仿宋_GB2312"/>
                <w:sz w:val="21"/>
              </w:rPr>
              <w:t>2000</w:t>
            </w:r>
            <w:r>
              <w:rPr>
                <w:rFonts w:ascii="仿宋_GB2312" w:hAnsi="仿宋_GB2312" w:cs="仿宋_GB2312" w:eastAsia="仿宋_GB2312"/>
                <w:sz w:val="21"/>
              </w:rPr>
              <w:t>册（设计排版页码约为</w:t>
            </w:r>
            <w:r>
              <w:rPr>
                <w:rFonts w:ascii="仿宋_GB2312" w:hAnsi="仿宋_GB2312" w:cs="仿宋_GB2312" w:eastAsia="仿宋_GB2312"/>
                <w:sz w:val="21"/>
              </w:rPr>
              <w:t>340P</w:t>
            </w:r>
            <w:r>
              <w:rPr>
                <w:rFonts w:ascii="仿宋_GB2312" w:hAnsi="仿宋_GB2312" w:cs="仿宋_GB2312" w:eastAsia="仿宋_GB2312"/>
                <w:sz w:val="21"/>
              </w:rPr>
              <w:t>，尺寸为</w:t>
            </w:r>
            <w:r>
              <w:rPr>
                <w:rFonts w:ascii="仿宋_GB2312" w:hAnsi="仿宋_GB2312" w:cs="仿宋_GB2312" w:eastAsia="仿宋_GB2312"/>
                <w:sz w:val="21"/>
              </w:rPr>
              <w:t>420*280mm</w:t>
            </w:r>
            <w:r>
              <w:rPr>
                <w:rFonts w:ascii="仿宋_GB2312" w:hAnsi="仿宋_GB2312" w:cs="仿宋_GB2312" w:eastAsia="仿宋_GB2312"/>
                <w:sz w:val="21"/>
              </w:rPr>
              <w:t>）供应商应根据设计内容拟定印刷工艺及数字化采集要求并说明，设计要求必须突出展览主题，与主展陈视觉风格一致。</w:t>
            </w:r>
          </w:p>
          <w:p>
            <w:pPr>
              <w:pStyle w:val="null3"/>
              <w:ind w:firstLine="422"/>
              <w:jc w:val="left"/>
            </w:pPr>
            <w:r>
              <w:rPr>
                <w:rFonts w:ascii="仿宋_GB2312" w:hAnsi="仿宋_GB2312" w:cs="仿宋_GB2312" w:eastAsia="仿宋_GB2312"/>
                <w:sz w:val="21"/>
                <w:b/>
              </w:rPr>
              <w:t>三、服务要求</w:t>
            </w:r>
          </w:p>
          <w:p>
            <w:pPr>
              <w:pStyle w:val="null3"/>
              <w:ind w:firstLine="630"/>
              <w:jc w:val="left"/>
            </w:pPr>
            <w:r>
              <w:rPr>
                <w:rFonts w:ascii="仿宋_GB2312" w:hAnsi="仿宋_GB2312" w:cs="仿宋_GB2312" w:eastAsia="仿宋_GB2312"/>
                <w:sz w:val="21"/>
              </w:rPr>
              <w:t>（一）审定要求</w:t>
            </w:r>
          </w:p>
          <w:p>
            <w:pPr>
              <w:pStyle w:val="null3"/>
              <w:ind w:firstLine="420"/>
              <w:jc w:val="left"/>
            </w:pPr>
            <w:r>
              <w:rPr>
                <w:rFonts w:ascii="仿宋_GB2312" w:hAnsi="仿宋_GB2312" w:cs="仿宋_GB2312" w:eastAsia="仿宋_GB2312"/>
                <w:sz w:val="21"/>
              </w:rPr>
              <w:t>成交供应商关于采购内容的设计排版方案及文字内容需通过采购人审定；使用纸张、成品效果需同过采购人审定后方可批量生产。</w:t>
            </w:r>
          </w:p>
          <w:p>
            <w:pPr>
              <w:pStyle w:val="null3"/>
              <w:ind w:firstLine="630"/>
              <w:jc w:val="left"/>
            </w:pPr>
            <w:r>
              <w:rPr>
                <w:rFonts w:ascii="仿宋_GB2312" w:hAnsi="仿宋_GB2312" w:cs="仿宋_GB2312" w:eastAsia="仿宋_GB2312"/>
                <w:sz w:val="21"/>
              </w:rPr>
              <w:t>（二）制作要求</w:t>
            </w:r>
          </w:p>
          <w:p>
            <w:pPr>
              <w:pStyle w:val="null3"/>
              <w:ind w:firstLine="420"/>
              <w:jc w:val="left"/>
            </w:pPr>
            <w:r>
              <w:rPr>
                <w:rFonts w:ascii="仿宋_GB2312" w:hAnsi="仿宋_GB2312" w:cs="仿宋_GB2312" w:eastAsia="仿宋_GB2312"/>
                <w:sz w:val="21"/>
              </w:rPr>
              <w:t>全部宣传物料应字迹清晰、颜色均匀适度、无墨点、无缺字；纸质色泽一致，纸张平整；彩色还原性好，套印准确、着墨均匀；装订无错漏、颠倒、漏页；装订胶质涂抹均匀适度，符合画册装订标准；成品包装，无整本破损。</w:t>
            </w:r>
          </w:p>
          <w:p>
            <w:pPr>
              <w:pStyle w:val="null3"/>
              <w:ind w:firstLine="630"/>
              <w:jc w:val="left"/>
            </w:pPr>
            <w:r>
              <w:rPr>
                <w:rFonts w:ascii="仿宋_GB2312" w:hAnsi="仿宋_GB2312" w:cs="仿宋_GB2312" w:eastAsia="仿宋_GB2312"/>
                <w:sz w:val="21"/>
              </w:rPr>
              <w:t>（三）</w:t>
            </w:r>
            <w:r>
              <w:rPr>
                <w:rFonts w:ascii="仿宋_GB2312" w:hAnsi="仿宋_GB2312" w:cs="仿宋_GB2312" w:eastAsia="仿宋_GB2312"/>
                <w:sz w:val="21"/>
              </w:rPr>
              <w:t>服务能力</w:t>
            </w:r>
          </w:p>
          <w:p>
            <w:pPr>
              <w:pStyle w:val="null3"/>
              <w:ind w:firstLine="420"/>
              <w:jc w:val="left"/>
            </w:pPr>
            <w:r>
              <w:rPr>
                <w:rFonts w:ascii="仿宋_GB2312" w:hAnsi="仿宋_GB2312" w:cs="仿宋_GB2312" w:eastAsia="仿宋_GB2312"/>
                <w:sz w:val="21"/>
              </w:rPr>
              <w:t>供应商应具备独立完成制版（图像处理工作）、印刷、装订、包装所有工序的能力；具备独立完成图像采集及数字修复的能力；具备印刷四色及专色全彩页书籍的印刷、装帧能力；</w:t>
            </w:r>
          </w:p>
          <w:p>
            <w:pPr>
              <w:pStyle w:val="null3"/>
              <w:ind w:firstLine="420"/>
              <w:jc w:val="left"/>
            </w:pPr>
            <w:r>
              <w:rPr>
                <w:rFonts w:ascii="仿宋_GB2312" w:hAnsi="仿宋_GB2312" w:cs="仿宋_GB2312" w:eastAsia="仿宋_GB2312"/>
                <w:sz w:val="21"/>
                <w:color w:val="000000"/>
              </w:rPr>
              <w:t>供应商需提供工艺相关设备清单及过往出版物或画册的相关证明材料。</w:t>
            </w:r>
          </w:p>
          <w:p>
            <w:pPr>
              <w:pStyle w:val="null3"/>
              <w:ind w:firstLine="630"/>
              <w:jc w:val="left"/>
            </w:pPr>
            <w:r>
              <w:rPr>
                <w:rFonts w:ascii="仿宋_GB2312" w:hAnsi="仿宋_GB2312" w:cs="仿宋_GB2312" w:eastAsia="仿宋_GB2312"/>
                <w:sz w:val="21"/>
              </w:rPr>
              <w:t>（四）配送要求</w:t>
            </w:r>
          </w:p>
          <w:p>
            <w:pPr>
              <w:pStyle w:val="null3"/>
              <w:ind w:firstLine="420"/>
              <w:jc w:val="left"/>
            </w:pPr>
            <w:r>
              <w:rPr>
                <w:rFonts w:ascii="仿宋_GB2312" w:hAnsi="仿宋_GB2312" w:cs="仿宋_GB2312" w:eastAsia="仿宋_GB2312"/>
                <w:sz w:val="21"/>
              </w:rPr>
              <w:t>成交供应商应提供运输服务。运杂费已包含在总报价内，包括运输、装卸、仓储、保险等，应按期将图书运送至采购人指定地点。延期交货采购人有权索取赔偿。</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）售后服务</w:t>
            </w:r>
          </w:p>
          <w:p>
            <w:pPr>
              <w:pStyle w:val="null3"/>
              <w:jc w:val="both"/>
            </w:pPr>
            <w:r>
              <w:rPr>
                <w:rFonts w:ascii="仿宋_GB2312" w:hAnsi="仿宋_GB2312" w:cs="仿宋_GB2312" w:eastAsia="仿宋_GB2312"/>
                <w:sz w:val="21"/>
              </w:rPr>
              <w:t>成交供应商应确定一名主管负责售后服务工作并公开联系人职务、方式；质量保证期为交货验收合格之日起</w:t>
            </w:r>
            <w:r>
              <w:rPr>
                <w:rFonts w:ascii="仿宋_GB2312" w:hAnsi="仿宋_GB2312" w:cs="仿宋_GB2312" w:eastAsia="仿宋_GB2312"/>
                <w:sz w:val="21"/>
              </w:rPr>
              <w:t>12</w:t>
            </w:r>
            <w:r>
              <w:rPr>
                <w:rFonts w:ascii="仿宋_GB2312" w:hAnsi="仿宋_GB2312" w:cs="仿宋_GB2312" w:eastAsia="仿宋_GB2312"/>
                <w:sz w:val="21"/>
              </w:rPr>
              <w:t>个月；在质保期内货物本身出现质量问题，成交供应商应在</w:t>
            </w:r>
            <w:r>
              <w:rPr>
                <w:rFonts w:ascii="仿宋_GB2312" w:hAnsi="仿宋_GB2312" w:cs="仿宋_GB2312" w:eastAsia="仿宋_GB2312"/>
                <w:sz w:val="21"/>
              </w:rPr>
              <w:t>10</w:t>
            </w:r>
            <w:r>
              <w:rPr>
                <w:rFonts w:ascii="仿宋_GB2312" w:hAnsi="仿宋_GB2312" w:cs="仿宋_GB2312" w:eastAsia="仿宋_GB2312"/>
                <w:sz w:val="21"/>
              </w:rPr>
              <w:t>个工作日内免费提供退、换、补齐等服务。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2025年10月30日前完成交货量80%以上， 2025年11月20日前交付剩余货物。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陕西省美术博物馆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符合采购人服务要求。成交供应商应提供运输服务。运杂费已包含在总报价内，包括运输、装卸、仓储、保险等，应按期运送至采购人指定地点。延期交货采购人有权索取赔偿。</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合同签订后，供应商按照付款进度开具发票，设计排版方案通过后，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交货完成度达到80%，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未按合同要求提供、服务内容未满足采购人技术要求，采购人有权终止合同并对供方违约行为进行追究。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贰份；若电子响应文件与纸质响应文件不一致的，以电子响应文件为准；响应文件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特殊资质</w:t>
            </w:r>
          </w:p>
        </w:tc>
        <w:tc>
          <w:tcPr>
            <w:tcW w:type="dxa" w:w="3322"/>
          </w:tcPr>
          <w:p>
            <w:pPr>
              <w:pStyle w:val="null3"/>
            </w:pPr>
            <w:r>
              <w:rPr>
                <w:rFonts w:ascii="仿宋_GB2312" w:hAnsi="仿宋_GB2312" w:cs="仿宋_GB2312" w:eastAsia="仿宋_GB2312"/>
              </w:rPr>
              <w:t>具有有效的《印刷经营许可证》。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供应商提供项目总体方案，磋商小组综合比较各供应商的制作方案，包括总体构思，内容大纲等。 1.服务总体方案完整性、合理性和可操作性强、有具体流程且合理性强得10分； 2.服务总体方案完整性、合理性和可操作性较一般得7分； 3.有服务总体方案,但不完整，合理性和可操作性较差得4分； 4.未提供总体服务方案不得分。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供应商针对本项目质量保证的措施方案； 1.方案完善、合理、可行，得10分； 2.方案基本合理、可行，得7分； 3.方案内容简单，基本满足项目需求计4分；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供应商需提供整体详细、合理、可行的设计服务方案，包括但不限于(突出专项展览主题，具备宣传效果等）。方案合理且完整，根据其响应程度进行综合评审。 1、整体服务方案详细、完整、可行性强得10分； 2、整体服务方案详细、完整、可行性一般得7分； 3、整体服务方案详细、完整、可行性差得4分；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供应商应具备独立完成图像采集及数字修复的能力；具备四色印刷及专色全彩页画册的印刷、装帧能力。供应商需提供工艺相关设备清单及相关证明材料（包含过往出版物或画册）。 1、提供的相关证明材料详细、合理、可行性强得10分； 2、提供的相关证明材料详细、合理、可行性一般得7分； 3、提供的相关证明材料详细、合理、可行性差得4分；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1.有详细的人员配置方案，有健全的组织机构及工作安排，岗位分工明确，得10分； 2.有详细的人员配置方案，组织机构及工作安排基本完善、合理，岗位分工明确，得7分； 3.有详细的人员配置方案，组织机构及工作安排合理性差，岗位分工不明确，得4分；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供应商针对此项目服务期间发生的紧急突发情况，有全面具体的应急预案。 1、应急预案对各类型突发事件都有对应处理措施，内容全面详细，实用，可行性强，得10分； 2、应急预案内容对常见突发事件有对应处理措施，内容基本全面实用，得7分； 3、应急预案内容简单，不具备可行性得4分；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依据对本项目的理解，切合项目实际情况，为采购人提供有利于项目实施的合理化建议，按其内容综合评审。 1、合理化建议内容完整全面、详尽合理、具备较强的可操作性，得10分； 2、合理化建议内容条款有针对性，但表述简单，可操作性欠缺的得7分； 3、合理化建议空泛，不具备项目针对性、表述不合理的得4分。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难点、重点分析</w:t>
            </w:r>
          </w:p>
        </w:tc>
        <w:tc>
          <w:tcPr>
            <w:tcW w:type="dxa" w:w="2492"/>
          </w:tcPr>
          <w:p>
            <w:pPr>
              <w:pStyle w:val="null3"/>
            </w:pPr>
            <w:r>
              <w:rPr>
                <w:rFonts w:ascii="仿宋_GB2312" w:hAnsi="仿宋_GB2312" w:cs="仿宋_GB2312" w:eastAsia="仿宋_GB2312"/>
              </w:rPr>
              <w:t>供应商须对项目实施过程中存在的难点、重点分析透彻、有预期效果，若未能达到预期效果的解决方案。 1.重难点分析准确，方案内容具体、完整、详细、全面的，得10分； 2.方案内容较完整、详细的，得7分； 3.方案内容有欠缺、内容薄弱的，得4分；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供应商提供2022年9月1日同类业绩的合同，每个同类业绩得2分，满分10分。（须提供合同完整复印件加盖公章）。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详见附件：非联合体不分包响应声明</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