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F3C20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>主要商务条款响应偏离表</w:t>
      </w:r>
    </w:p>
    <w:tbl>
      <w:tblPr>
        <w:tblStyle w:val="3"/>
        <w:tblW w:w="4998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1171"/>
        <w:gridCol w:w="5619"/>
        <w:gridCol w:w="1191"/>
      </w:tblGrid>
      <w:tr w14:paraId="6BFC2A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5639F3C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87" w:type="pct"/>
            <w:tcBorders>
              <w:tl2br w:val="nil"/>
              <w:tr2bl w:val="nil"/>
            </w:tcBorders>
            <w:vAlign w:val="center"/>
          </w:tcPr>
          <w:p w14:paraId="216B083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条款</w:t>
            </w:r>
          </w:p>
        </w:tc>
        <w:tc>
          <w:tcPr>
            <w:tcW w:w="3297" w:type="pct"/>
            <w:tcBorders>
              <w:tl2br w:val="nil"/>
              <w:tr2bl w:val="nil"/>
            </w:tcBorders>
            <w:vAlign w:val="center"/>
          </w:tcPr>
          <w:p w14:paraId="3B85F58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  <w:t>内容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12F9C80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  <w:t>响应说明</w:t>
            </w:r>
          </w:p>
        </w:tc>
      </w:tr>
      <w:tr w14:paraId="00C7AA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50DA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 w:colFirst="1" w:colLast="2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AFD8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合同</w:t>
            </w:r>
          </w:p>
          <w:p w14:paraId="71E160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价款</w:t>
            </w:r>
          </w:p>
        </w:tc>
        <w:tc>
          <w:tcPr>
            <w:tcW w:w="3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A1B6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1.本项目采用综合单价合同。</w:t>
            </w:r>
          </w:p>
          <w:p w14:paraId="78100F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 xml:space="preserve">2.单价修正系数 ：修正系数=磋商最终报价/首次报价。 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01A9C53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bookmarkEnd w:id="0"/>
      <w:tr w14:paraId="1C1597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42DB6EC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87" w:type="pct"/>
            <w:tcBorders>
              <w:tl2br w:val="nil"/>
              <w:tr2bl w:val="nil"/>
            </w:tcBorders>
            <w:vAlign w:val="center"/>
          </w:tcPr>
          <w:p w14:paraId="2023A2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变更、签证价款</w:t>
            </w:r>
          </w:p>
        </w:tc>
        <w:tc>
          <w:tcPr>
            <w:tcW w:w="3297" w:type="pct"/>
            <w:tcBorders>
              <w:tl2br w:val="nil"/>
              <w:tr2bl w:val="nil"/>
            </w:tcBorders>
            <w:vAlign w:val="center"/>
          </w:tcPr>
          <w:p w14:paraId="246C71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1.审核后的工程量清单报价中已有工程综合单价的，按已有综合单价结算。</w:t>
            </w:r>
          </w:p>
          <w:p w14:paraId="5E51FA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.工程量清单报价中只有类似工程项目的，双方可以参照同标准类似综合单价协商认可的综合单价结算。3.工程量清单报价中没有的工程项目内容，经甲方代表确认后，乙方可重新组价并上报，组价依据施工图、设计变更、陕西省《建设工程工程量清单计价标准》(2025)、《陕西省建设工程费用规则》(2025)下的仿清单定额模式，依据《陕西省房屋建筑与装饰工程基价表(2025)》、《陕西省通用安装工程基价表(2025)》、《陕西省市政工程基价表(2025)》、《陕西省园林绿化工程基价表(2025)》、《陕西省房屋建筑与装饰工程消耗量定额(2025)》《陕西省安装工程消耗量定额(2025)》《陕西省市政工程消耗量定额(2025)、《陕西省园林绿化工程消耗量定额(2025)及相应的费率，经甲方审核确认的价款为该变更签证价款。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57EDF5A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14:paraId="487A0C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5847B33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87" w:type="pct"/>
            <w:tcBorders>
              <w:tl2br w:val="nil"/>
              <w:tr2bl w:val="nil"/>
            </w:tcBorders>
            <w:vAlign w:val="center"/>
          </w:tcPr>
          <w:p w14:paraId="394BFA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履约保证金</w:t>
            </w:r>
          </w:p>
        </w:tc>
        <w:tc>
          <w:tcPr>
            <w:tcW w:w="3297" w:type="pct"/>
            <w:tcBorders>
              <w:tl2br w:val="nil"/>
              <w:tr2bl w:val="nil"/>
            </w:tcBorders>
            <w:vAlign w:val="center"/>
          </w:tcPr>
          <w:p w14:paraId="5DEBA3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中标供应商在签订合同前，应提交合同金额的10%作为履约保证金。竣工验收后交付给招标人使用之日起满一年，扣除违约费用后无息支付至履约保证金总额的50%为止；满两年后，无息支付扣除违约费用后其他剩余履约保证金。履约保证金不足的，承包人应补足。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4B14DA3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14:paraId="331151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38315CD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87" w:type="pct"/>
            <w:tcBorders>
              <w:tl2br w:val="nil"/>
              <w:tr2bl w:val="nil"/>
            </w:tcBorders>
            <w:vAlign w:val="center"/>
          </w:tcPr>
          <w:p w14:paraId="1FFB7B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付款</w:t>
            </w:r>
          </w:p>
          <w:p w14:paraId="1164E8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方式</w:t>
            </w:r>
          </w:p>
        </w:tc>
        <w:tc>
          <w:tcPr>
            <w:tcW w:w="3297" w:type="pct"/>
            <w:tcBorders>
              <w:tl2br w:val="nil"/>
              <w:tr2bl w:val="nil"/>
            </w:tcBorders>
            <w:vAlign w:val="center"/>
          </w:tcPr>
          <w:p w14:paraId="15C980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合同签订后10个工作日内支付合同金额的40 %，承包人根据工程施工进度，可提出工程款项支付申请，发包人根据工程进度等工程资料支付进度款，工程竣工验收合格后付至审定金额的100%，但不得超过成交价格。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5FBA93F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</w:tbl>
    <w:p w14:paraId="346CE149">
      <w:pP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</w:pPr>
    </w:p>
    <w:p w14:paraId="1B4D1A95">
      <w:pP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注：1.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响应说明填写：优于、等于、低于。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未填写的视为低于。</w:t>
      </w:r>
    </w:p>
    <w:p w14:paraId="63557F7D">
      <w:pPr>
        <w:ind w:firstLine="440" w:firstLineChars="200"/>
        <w:rPr>
          <w:rFonts w:hint="default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2.主要商务条款不允许负偏离（低于）。</w:t>
      </w:r>
    </w:p>
    <w:p w14:paraId="3915BA52">
      <w:pP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</w:p>
    <w:p w14:paraId="16A94F30">
      <w:pP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</w:p>
    <w:p w14:paraId="0120B2C8"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供应商：（盖公章）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9E4D78"/>
    <w:rsid w:val="05B002A1"/>
    <w:rsid w:val="126822AB"/>
    <w:rsid w:val="16922F95"/>
    <w:rsid w:val="1F9077A5"/>
    <w:rsid w:val="1FE842E7"/>
    <w:rsid w:val="205234AE"/>
    <w:rsid w:val="219C1B8D"/>
    <w:rsid w:val="3B6F6F2C"/>
    <w:rsid w:val="3FF9428E"/>
    <w:rsid w:val="5481728A"/>
    <w:rsid w:val="5A29740C"/>
    <w:rsid w:val="6AF66C7C"/>
    <w:rsid w:val="719E4D78"/>
    <w:rsid w:val="7459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680</Words>
  <Characters>746</Characters>
  <Lines>0</Lines>
  <Paragraphs>0</Paragraphs>
  <TotalTime>14</TotalTime>
  <ScaleCrop>false</ScaleCrop>
  <LinksUpToDate>false</LinksUpToDate>
  <CharactersWithSpaces>749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2025-04-29T12:23:00Z</dcterms:created>
  <dc:creator>新昱</dc:creator>
  <cp:lastModifiedBy>新昱</cp:lastModifiedBy>
  <dcterms:modified xsi:type="dcterms:W3CDTF">2025-09-17T06:42:50Z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44F26DEF014342D7886A882D4F173886_13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