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版本号：RH采字【20250906】号20250922002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液态靶单晶衍射仪维保服务项目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RH采字【20250906】号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液态靶单晶衍射仪维保服务项目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RH采字【20250906】号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液态靶单晶衍射仪维保服务项目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西北大学液态靶单晶衍射仪维保服务项目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缴纳方式：银行转账、支票/汇票/本票、保函/保险； 说明：成交供应商于合同签订前缴纳，缴纳金额为合同金额的5%。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如遇下列情况之一者，合同履约保证金不予退还，作为对采购人的赔偿：（1）合同签订后不能按合同时限要求提供服务的；（2）所提供的服务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联系电话：15091632950（15091632950@qq.com）</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西北大学液态靶单晶衍射仪维保服务项目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液态靶单晶衍射仪维保服务项目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标的名称：液态靶单晶衍射仪维保服务项目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采购标的需实现的功能或者目标：</w:t>
            </w:r>
          </w:p>
          <w:p>
            <w:pPr>
              <w:pStyle w:val="null3"/>
              <w:jc w:val="left"/>
            </w:pPr>
            <w:r>
              <w:rPr>
                <w:rFonts w:ascii="仿宋_GB2312" w:hAnsi="仿宋_GB2312" w:cs="仿宋_GB2312" w:eastAsia="仿宋_GB2312"/>
                <w:sz w:val="28"/>
              </w:rPr>
              <w:t>1. 完成液态靶单晶衍射仪现场故障诊断与维修，使仪器恢复正常性能指标；</w:t>
            </w:r>
          </w:p>
          <w:p>
            <w:pPr>
              <w:pStyle w:val="null3"/>
              <w:jc w:val="left"/>
            </w:pPr>
            <w:r>
              <w:rPr>
                <w:rFonts w:ascii="仿宋_GB2312" w:hAnsi="仿宋_GB2312" w:cs="仿宋_GB2312" w:eastAsia="仿宋_GB2312"/>
                <w:sz w:val="28"/>
              </w:rPr>
              <w:t>2. 完成合同期内的液态金属靶光源维护服务；</w:t>
            </w:r>
          </w:p>
          <w:p>
            <w:pPr>
              <w:pStyle w:val="null3"/>
              <w:jc w:val="both"/>
            </w:pPr>
            <w:r>
              <w:rPr>
                <w:rFonts w:ascii="仿宋_GB2312" w:hAnsi="仿宋_GB2312" w:cs="仿宋_GB2312" w:eastAsia="仿宋_GB2312"/>
                <w:sz w:val="28"/>
              </w:rPr>
              <w:t>3. 完成合同期内的整机质量保修。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8"/>
                <w:b/>
              </w:rPr>
              <w:t>服务内容：</w:t>
            </w:r>
          </w:p>
          <w:p>
            <w:pPr>
              <w:pStyle w:val="null3"/>
              <w:ind w:firstLine="560"/>
              <w:jc w:val="left"/>
            </w:pPr>
            <w:r>
              <w:rPr>
                <w:rFonts w:ascii="仿宋_GB2312" w:hAnsi="仿宋_GB2312" w:cs="仿宋_GB2312" w:eastAsia="仿宋_GB2312"/>
                <w:sz w:val="28"/>
              </w:rPr>
              <w:t>服务内容包括：液态靶单晶衍射仪（型号</w:t>
            </w:r>
            <w:r>
              <w:rPr>
                <w:rFonts w:ascii="仿宋_GB2312" w:hAnsi="仿宋_GB2312" w:cs="仿宋_GB2312" w:eastAsia="仿宋_GB2312"/>
                <w:sz w:val="28"/>
              </w:rPr>
              <w:t>D8 VENTURE METALJET D2）现场故障诊断与维修，使仪器恢复正常性能指标；提供合同期内的液态金属靶光源维护服务以及合同期内的整机质量保修。</w:t>
            </w:r>
          </w:p>
          <w:p>
            <w:pPr>
              <w:pStyle w:val="null3"/>
              <w:ind w:firstLine="560"/>
              <w:jc w:val="left"/>
            </w:pPr>
            <w:r>
              <w:rPr>
                <w:rFonts w:ascii="仿宋_GB2312" w:hAnsi="仿宋_GB2312" w:cs="仿宋_GB2312" w:eastAsia="仿宋_GB2312"/>
                <w:sz w:val="28"/>
              </w:rPr>
              <w:t xml:space="preserve">1. 故障诊断与维修服务     </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1）合同生效后，应在 2 个工作日内提供详细的远程初步诊断方案和预案，并在合同签订后的5 个工作日内安排工程师抵达现场。完成所有维修工作，确保仪器各项核心功能恢复正常，并达到以下性能验收指标。</w:t>
            </w:r>
          </w:p>
          <w:p>
            <w:pPr>
              <w:pStyle w:val="null3"/>
              <w:ind w:left="420" w:firstLine="560"/>
              <w:jc w:val="both"/>
            </w:pPr>
            <w:r>
              <w:rPr>
                <w:rFonts w:ascii="仿宋_GB2312" w:hAnsi="仿宋_GB2312" w:cs="仿宋_GB2312" w:eastAsia="仿宋_GB2312"/>
                <w:sz w:val="28"/>
              </w:rPr>
              <w:t>X射线光源强度：DX :150，2theta=0，Al衰减片，0.8mm准直管， 满功率测试直射光光强≥94W CPS；</w:t>
            </w:r>
          </w:p>
          <w:p>
            <w:pPr>
              <w:pStyle w:val="null3"/>
              <w:ind w:firstLine="2800"/>
              <w:jc w:val="both"/>
            </w:pPr>
            <w:r>
              <w:rPr>
                <w:rFonts w:ascii="仿宋_GB2312" w:hAnsi="仿宋_GB2312" w:cs="仿宋_GB2312" w:eastAsia="仿宋_GB2312"/>
                <w:sz w:val="28"/>
              </w:rPr>
              <w:t>功</w:t>
            </w:r>
            <w:r>
              <w:rPr>
                <w:rFonts w:ascii="仿宋_GB2312" w:hAnsi="仿宋_GB2312" w:cs="仿宋_GB2312" w:eastAsia="仿宋_GB2312"/>
                <w:sz w:val="28"/>
              </w:rPr>
              <w:t>率</w:t>
            </w:r>
            <w:r>
              <w:rPr>
                <w:rFonts w:ascii="仿宋_GB2312" w:hAnsi="仿宋_GB2312" w:cs="仿宋_GB2312" w:eastAsia="仿宋_GB2312"/>
                <w:sz w:val="28"/>
              </w:rPr>
              <w:t>≥ 2</w:t>
            </w:r>
            <w:r>
              <w:rPr>
                <w:rFonts w:ascii="仿宋_GB2312" w:hAnsi="仿宋_GB2312" w:cs="仿宋_GB2312" w:eastAsia="仿宋_GB2312"/>
                <w:sz w:val="28"/>
              </w:rPr>
              <w:t>50 W</w:t>
            </w:r>
            <w:r>
              <w:rPr>
                <w:rFonts w:ascii="仿宋_GB2312" w:hAnsi="仿宋_GB2312" w:cs="仿宋_GB2312" w:eastAsia="仿宋_GB2312"/>
                <w:sz w:val="28"/>
              </w:rPr>
              <w:t>；</w:t>
            </w:r>
          </w:p>
          <w:p>
            <w:pPr>
              <w:pStyle w:val="null3"/>
              <w:ind w:firstLine="1120"/>
              <w:jc w:val="both"/>
            </w:pPr>
            <w:r>
              <w:rPr>
                <w:rFonts w:ascii="仿宋_GB2312" w:hAnsi="仿宋_GB2312" w:cs="仿宋_GB2312" w:eastAsia="仿宋_GB2312"/>
                <w:sz w:val="28"/>
              </w:rPr>
              <w:t>探测器性能：温度稳定性</w:t>
            </w:r>
            <w:r>
              <w:rPr>
                <w:rFonts w:ascii="仿宋_GB2312" w:hAnsi="仿宋_GB2312" w:cs="仿宋_GB2312" w:eastAsia="仿宋_GB2312"/>
                <w:sz w:val="28"/>
              </w:rPr>
              <w:t>-15±0.5℃，图像正常；</w:t>
            </w:r>
          </w:p>
          <w:p>
            <w:pPr>
              <w:pStyle w:val="null3"/>
              <w:ind w:firstLine="560"/>
              <w:jc w:val="both"/>
            </w:pPr>
            <w:r>
              <w:rPr>
                <w:rFonts w:ascii="仿宋_GB2312" w:hAnsi="仿宋_GB2312" w:cs="仿宋_GB2312" w:eastAsia="仿宋_GB2312"/>
                <w:sz w:val="28"/>
              </w:rPr>
              <w:t>低温系统：温度控制范围：</w:t>
            </w:r>
            <w:r>
              <w:rPr>
                <w:rFonts w:ascii="仿宋_GB2312" w:hAnsi="仿宋_GB2312" w:cs="仿宋_GB2312" w:eastAsia="仿宋_GB2312"/>
                <w:sz w:val="28"/>
              </w:rPr>
              <w:t>90 - 400K，控温精度：0.1 K；</w:t>
            </w:r>
          </w:p>
          <w:p>
            <w:pPr>
              <w:pStyle w:val="null3"/>
              <w:ind w:firstLine="560"/>
              <w:jc w:val="both"/>
            </w:pPr>
            <w:r>
              <w:rPr>
                <w:rFonts w:ascii="仿宋_GB2312" w:hAnsi="仿宋_GB2312" w:cs="仿宋_GB2312" w:eastAsia="仿宋_GB2312"/>
                <w:sz w:val="28"/>
              </w:rPr>
              <w:t>数据质量：使用标晶收集测试数据，</w:t>
            </w:r>
            <w:r>
              <w:rPr>
                <w:rFonts w:ascii="仿宋_GB2312" w:hAnsi="仿宋_GB2312" w:cs="仿宋_GB2312" w:eastAsia="仿宋_GB2312"/>
                <w:sz w:val="28"/>
              </w:rPr>
              <w:t>0.9 A分辨率，R</w:t>
            </w:r>
            <w:r>
              <w:rPr>
                <w:rFonts w:ascii="仿宋_GB2312" w:hAnsi="仿宋_GB2312" w:cs="仿宋_GB2312" w:eastAsia="仿宋_GB2312"/>
                <w:sz w:val="28"/>
                <w:vertAlign w:val="subscript"/>
              </w:rPr>
              <w:t>sym</w:t>
            </w:r>
            <w:r>
              <w:rPr>
                <w:rFonts w:ascii="仿宋_GB2312" w:hAnsi="仿宋_GB2312" w:cs="仿宋_GB2312" w:eastAsia="仿宋_GB2312"/>
                <w:sz w:val="28"/>
              </w:rPr>
              <w:t xml:space="preserve"> </w:t>
            </w:r>
            <w:r>
              <w:rPr>
                <w:rFonts w:ascii="仿宋_GB2312" w:hAnsi="仿宋_GB2312" w:cs="仿宋_GB2312" w:eastAsia="仿宋_GB2312"/>
                <w:sz w:val="28"/>
              </w:rPr>
              <w:t>&lt; 0.07，R</w:t>
            </w:r>
            <w:r>
              <w:rPr>
                <w:rFonts w:ascii="仿宋_GB2312" w:hAnsi="仿宋_GB2312" w:cs="仿宋_GB2312" w:eastAsia="仿宋_GB2312"/>
                <w:sz w:val="28"/>
                <w:vertAlign w:val="subscript"/>
              </w:rPr>
              <w:t>i</w:t>
            </w:r>
            <w:r>
              <w:rPr>
                <w:rFonts w:ascii="仿宋_GB2312" w:hAnsi="仿宋_GB2312" w:cs="仿宋_GB2312" w:eastAsia="仿宋_GB2312"/>
                <w:sz w:val="28"/>
                <w:vertAlign w:val="subscript"/>
              </w:rPr>
              <w:t>n</w:t>
            </w:r>
            <w:r>
              <w:rPr>
                <w:rFonts w:ascii="仿宋_GB2312" w:hAnsi="仿宋_GB2312" w:cs="仿宋_GB2312" w:eastAsia="仿宋_GB2312"/>
                <w:sz w:val="28"/>
                <w:vertAlign w:val="subscript"/>
              </w:rPr>
              <w:t>t</w:t>
            </w:r>
            <w:r>
              <w:rPr>
                <w:rFonts w:ascii="仿宋_GB2312" w:hAnsi="仿宋_GB2312" w:cs="仿宋_GB2312" w:eastAsia="仿宋_GB2312"/>
                <w:sz w:val="28"/>
              </w:rPr>
              <w:t xml:space="preserve"> </w:t>
            </w:r>
            <w:r>
              <w:rPr>
                <w:rFonts w:ascii="仿宋_GB2312" w:hAnsi="仿宋_GB2312" w:cs="仿宋_GB2312" w:eastAsia="仿宋_GB2312"/>
                <w:sz w:val="28"/>
              </w:rPr>
              <w:t>&lt; 0.03, 结构精修R</w:t>
            </w:r>
            <w:r>
              <w:rPr>
                <w:rFonts w:ascii="仿宋_GB2312" w:hAnsi="仿宋_GB2312" w:cs="仿宋_GB2312" w:eastAsia="仿宋_GB2312"/>
                <w:sz w:val="28"/>
                <w:vertAlign w:val="subscript"/>
              </w:rPr>
              <w:t>1</w:t>
            </w:r>
            <w:r>
              <w:rPr>
                <w:rFonts w:ascii="仿宋_GB2312" w:hAnsi="仿宋_GB2312" w:cs="仿宋_GB2312" w:eastAsia="仿宋_GB2312"/>
                <w:sz w:val="28"/>
              </w:rPr>
              <w:t xml:space="preserve"> </w:t>
            </w:r>
            <w:r>
              <w:rPr>
                <w:rFonts w:ascii="仿宋_GB2312" w:hAnsi="仿宋_GB2312" w:cs="仿宋_GB2312" w:eastAsia="仿宋_GB2312"/>
                <w:sz w:val="28"/>
              </w:rPr>
              <w:t>&lt; 0.03，Flack &lt; 0.1，完成从数据收集到结构解析的全流程。</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 xml:space="preserve">2）此次维修必须包含Metaljet泵的深度维护及光源系统的升级（200W升级至250W）。   </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供应商必须指派具有丰富液态金属靶单晶设备维修经验的高级工程师提供现场服务，彻底排查并定位仪器故障点，向采购人出具书面《故障诊断报告》，明确说明故障原因、所需更换的部件清单及维修方案，并经采购人确认后方可实施。</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4）维修过程中更换的所有部件必须为原厂全新正品配件，并提供部件来源证明（光源系统为Excillum原厂配件，低温系统为Oxford原厂配件，其他部分为Bruker原厂配件）。</w:t>
            </w:r>
          </w:p>
          <w:p>
            <w:pPr>
              <w:pStyle w:val="null3"/>
              <w:ind w:firstLine="560"/>
              <w:jc w:val="left"/>
            </w:pPr>
            <w:r>
              <w:rPr>
                <w:rFonts w:ascii="仿宋_GB2312" w:hAnsi="仿宋_GB2312" w:cs="仿宋_GB2312" w:eastAsia="仿宋_GB2312"/>
                <w:sz w:val="28"/>
              </w:rPr>
              <w:t>2. 液态金属靶光源维护服务</w:t>
            </w:r>
          </w:p>
          <w:p>
            <w:pPr>
              <w:pStyle w:val="null3"/>
              <w:ind w:firstLine="560"/>
              <w:jc w:val="left"/>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提供光源升级（200W升级至250W）并提供合同期内液态金属靶光源的维护保障。此保障必须包括因光源正常衰减或故障导致的远程光源调试及免费更换配件（含人工），调试及更换不限次数，确保合同期内光源亮度满足测试需求。</w:t>
            </w:r>
          </w:p>
          <w:p>
            <w:pPr>
              <w:pStyle w:val="null3"/>
              <w:ind w:firstLine="560"/>
              <w:jc w:val="left"/>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2）在合同期内，提供不少于 2 次的光源状态远程检测与评估，并出具评估报告。</w:t>
            </w:r>
          </w:p>
          <w:p>
            <w:pPr>
              <w:pStyle w:val="null3"/>
              <w:ind w:firstLine="560"/>
              <w:jc w:val="left"/>
            </w:pPr>
            <w:r>
              <w:rPr>
                <w:rFonts w:ascii="仿宋_GB2312" w:hAnsi="仿宋_GB2312" w:cs="仿宋_GB2312" w:eastAsia="仿宋_GB2312"/>
                <w:sz w:val="28"/>
              </w:rPr>
              <w:t>3. 整机质量保修服务</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1）自合同生效起，提供合同期内的整机免费质量保修。</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2）保修范围涵盖本单晶衍射仪光源系统、测角仪、探测器、主机控制器、应用系统及软件等。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3）对于保修期内出现的任何非人为因素造成的故障，供应商需提供免费的远程技术支持、现场维修服务及部件更换。</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4）提供应急电话支持，对于紧急故障，工程师需在12 小时内响应，并在48 小时内提出解决方案或安排现场支持。</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rPr>
              <w:t xml:space="preserve"> </w:t>
            </w:r>
            <w:r>
              <w:rPr>
                <w:rFonts w:ascii="仿宋_GB2312" w:hAnsi="仿宋_GB2312" w:cs="仿宋_GB2312" w:eastAsia="仿宋_GB2312"/>
                <w:sz w:val="28"/>
              </w:rPr>
              <w:t>服务时效</w:t>
            </w:r>
          </w:p>
          <w:p>
            <w:pPr>
              <w:pStyle w:val="null3"/>
              <w:ind w:firstLine="560"/>
              <w:jc w:val="left"/>
            </w:pPr>
            <w:r>
              <w:rPr>
                <w:rFonts w:ascii="仿宋_GB2312" w:hAnsi="仿宋_GB2312" w:cs="仿宋_GB2312" w:eastAsia="仿宋_GB2312"/>
                <w:sz w:val="28"/>
              </w:rPr>
              <w:t>自合同签订之日起，提供现场故障诊断与维修，使仪器恢复正常性能指标，并提供为期</w:t>
            </w:r>
            <w:r>
              <w:rPr>
                <w:rFonts w:ascii="仿宋_GB2312" w:hAnsi="仿宋_GB2312" w:cs="仿宋_GB2312" w:eastAsia="仿宋_GB2312"/>
                <w:sz w:val="28"/>
              </w:rPr>
              <w:t>12个月的液态金属靶光源维护服务及整机质量保修。合同期内故障维修和光源维护使仪器停机总时长不得超过60天（仪器报修时间为起始时间，仪器恢复正常运行时间为结束时间），若超出60天，合同期限增加相应的超出时长。</w:t>
            </w:r>
            <w:r>
              <w:rPr>
                <w:rFonts w:ascii="仿宋_GB2312" w:hAnsi="仿宋_GB2312" w:cs="仿宋_GB2312" w:eastAsia="仿宋_GB2312"/>
              </w:rPr>
              <w:t xml:space="preserve"> </w:t>
            </w:r>
          </w:p>
          <w:p>
            <w:pPr>
              <w:pStyle w:val="null3"/>
              <w:ind w:firstLine="560"/>
              <w:jc w:val="left"/>
            </w:pPr>
            <w:r>
              <w:rPr>
                <w:rFonts w:ascii="仿宋_GB2312" w:hAnsi="仿宋_GB2312" w:cs="仿宋_GB2312" w:eastAsia="仿宋_GB2312"/>
                <w:sz w:val="28"/>
              </w:rPr>
              <w:t>5. 技术培训</w:t>
            </w:r>
          </w:p>
          <w:p>
            <w:pPr>
              <w:pStyle w:val="null3"/>
              <w:ind w:firstLine="560"/>
              <w:jc w:val="left"/>
            </w:pPr>
            <w:r>
              <w:rPr>
                <w:rFonts w:ascii="仿宋_GB2312" w:hAnsi="仿宋_GB2312" w:cs="仿宋_GB2312" w:eastAsia="仿宋_GB2312"/>
                <w:sz w:val="28"/>
              </w:rPr>
              <w:t>维修完成后，应为采购人操作人员提供一次完整的现场操作与日常维护培训，重点讲解仪器维护要点和常见故障的初步判断方法。</w:t>
            </w:r>
          </w:p>
          <w:p>
            <w:pPr>
              <w:pStyle w:val="null3"/>
              <w:jc w:val="both"/>
            </w:pPr>
            <w:r>
              <w:rPr>
                <w:rFonts w:ascii="仿宋_GB2312" w:hAnsi="仿宋_GB2312" w:cs="仿宋_GB2312" w:eastAsia="仿宋_GB2312"/>
                <w:sz w:val="28"/>
              </w:rPr>
              <w:t>6. 供应商需对上述要求提供相应证明文件或承诺。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化学与材料科学学院130室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（1）性能验收指标：仪器维修完成后，须由采购人与成交供应商共同进行性能测试验收。测试结果必须全部达到以下指标：X射线光源强度：DX :150，2theta=0，Al衰减片，0.8mm准直管， 满功率测试直射光光强≥94W CPS；功率 ≥ 250 W；探测器性能：温度稳定性 -15±0.5℃，图像正常；低温系统：温度控制范围：90 - 400K，控温精度：0.1 K；数据质量：使用标晶收集测试数据，0.9 A分辨率，Rsym &lt; 0.07，Rint &lt; 0.03, 结构精修R1 &lt; 0.03，Flack &lt; 0.1，完成从数据收集到结构解析的全流程。 （2）验收组织：甲方负责按规定组织验收工作并出具验收书，涉及向学校师生提供的公共服务项目，验收时须邀请服务对象参与并出具意见。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合同生效后，供应商进行故障诊断与维修服务，达到采购文件规定的性能验收指标，经甲方初步验收合格后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待服务期满并经甲方验收合格后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1）维修后无法达到性能验收指标；（2）更换的配件非原厂全新正品配件，采购人要求更换一次后仍不符合约定的；（3）对故障响应不积极、故意拖延维修时长、不按约定增加质保期限以及所委派的维修工程师不符合要求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商务响应满足实质性要求</w:t>
            </w:r>
          </w:p>
        </w:tc>
        <w:tc>
          <w:tcPr>
            <w:tcW w:type="dxa" w:w="3322"/>
          </w:tcPr>
          <w:p>
            <w:pPr>
              <w:pStyle w:val="null3"/>
            </w:pPr>
            <w:r>
              <w:rPr>
                <w:rFonts w:ascii="仿宋_GB2312" w:hAnsi="仿宋_GB2312" w:cs="仿宋_GB2312" w:eastAsia="仿宋_GB2312"/>
              </w:rPr>
              <w:t>商务响应满足第三章3.3商务要求（合格），任意一条不满足（不合格）</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结合本项目技术参数与性能指标，供应商完全满足或优于采购需求得4分，每负偏离一项扣1分，扣完为止。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技术参数.docx</w:t>
            </w:r>
          </w:p>
        </w:tc>
      </w:tr>
      <w:tr>
        <w:tc>
          <w:tcPr>
            <w:tcW w:type="dxa" w:w="831"/>
            <w:vMerge/>
          </w:tcPr>
          <w:p/>
        </w:tc>
        <w:tc>
          <w:tcPr>
            <w:tcW w:type="dxa" w:w="1661"/>
          </w:tcPr>
          <w:p>
            <w:pPr>
              <w:pStyle w:val="null3"/>
            </w:pPr>
            <w:r>
              <w:rPr>
                <w:rFonts w:ascii="仿宋_GB2312" w:hAnsi="仿宋_GB2312" w:cs="仿宋_GB2312" w:eastAsia="仿宋_GB2312"/>
              </w:rPr>
              <w:t>整体维保方案</w:t>
            </w:r>
          </w:p>
        </w:tc>
        <w:tc>
          <w:tcPr>
            <w:tcW w:type="dxa" w:w="2492"/>
          </w:tcPr>
          <w:p>
            <w:pPr>
              <w:pStyle w:val="null3"/>
            </w:pPr>
            <w:r>
              <w:rPr>
                <w:rFonts w:ascii="仿宋_GB2312" w:hAnsi="仿宋_GB2312" w:cs="仿宋_GB2312" w:eastAsia="仿宋_GB2312"/>
              </w:rPr>
              <w:t>供应商根据项目特点提供整体维保方案。包括： 1、全年保养分析； 2、维护重点环节分析； 3、维护保养范围、标准、机器清洁措施及安全检查措施； 4、性能测试及校准运行监控措施； 5、针对本项目制定的维修保养制度与操作规范等。 满分10分。每有一项缺项扣2分；每有一处内容存在缺陷扣1分，扣完为止。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整体维保方案.docx</w:t>
            </w:r>
          </w:p>
        </w:tc>
      </w:tr>
      <w:tr>
        <w:tc>
          <w:tcPr>
            <w:tcW w:type="dxa" w:w="831"/>
            <w:vMerge/>
          </w:tcPr>
          <w:p/>
        </w:tc>
        <w:tc>
          <w:tcPr>
            <w:tcW w:type="dxa" w:w="1661"/>
          </w:tcPr>
          <w:p>
            <w:pPr>
              <w:pStyle w:val="null3"/>
            </w:pPr>
            <w:r>
              <w:rPr>
                <w:rFonts w:ascii="仿宋_GB2312" w:hAnsi="仿宋_GB2312" w:cs="仿宋_GB2312" w:eastAsia="仿宋_GB2312"/>
              </w:rPr>
              <w:t>维保设备及备品备件服务</w:t>
            </w:r>
          </w:p>
        </w:tc>
        <w:tc>
          <w:tcPr>
            <w:tcW w:type="dxa" w:w="2492"/>
          </w:tcPr>
          <w:p>
            <w:pPr>
              <w:pStyle w:val="null3"/>
            </w:pPr>
            <w:r>
              <w:rPr>
                <w:rFonts w:ascii="仿宋_GB2312" w:hAnsi="仿宋_GB2312" w:cs="仿宋_GB2312" w:eastAsia="仿宋_GB2312"/>
              </w:rPr>
              <w:t>供应商根据项目特点提供维保设备及备品备件服务方案，包括： 1、维保设备及备品备件清单 2、备品备件计划； 3、备品备件送达时间承诺。 满分6分。每有一项缺项扣2分；每有一处内容存在缺陷，扣1分，扣完为止。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维保设备及备品备件服务.docx</w:t>
            </w:r>
          </w:p>
        </w:tc>
      </w:tr>
      <w:tr>
        <w:tc>
          <w:tcPr>
            <w:tcW w:type="dxa" w:w="831"/>
            <w:vMerge/>
          </w:tcPr>
          <w:p/>
        </w:tc>
        <w:tc>
          <w:tcPr>
            <w:tcW w:type="dxa" w:w="1661"/>
          </w:tcPr>
          <w:p>
            <w:pPr>
              <w:pStyle w:val="null3"/>
            </w:pPr>
            <w:r>
              <w:rPr>
                <w:rFonts w:ascii="仿宋_GB2312" w:hAnsi="仿宋_GB2312" w:cs="仿宋_GB2312" w:eastAsia="仿宋_GB2312"/>
              </w:rPr>
              <w:t>来源渠道合法证明文件</w:t>
            </w:r>
          </w:p>
        </w:tc>
        <w:tc>
          <w:tcPr>
            <w:tcW w:type="dxa" w:w="2492"/>
          </w:tcPr>
          <w:p>
            <w:pPr>
              <w:pStyle w:val="null3"/>
            </w:pPr>
            <w:r>
              <w:rPr>
                <w:rFonts w:ascii="仿宋_GB2312" w:hAnsi="仿宋_GB2312" w:cs="仿宋_GB2312" w:eastAsia="仿宋_GB2312"/>
              </w:rPr>
              <w:t>供应商根据项目特点提供主要部件、配件、配套设备合法来源渠道证明文件，确保设备维修的及时性和可靠性，确保更换的相关部件（或配件、配套设备）无假货、水货、翻新件且无产权纠纷，提供相关来源渠道合法证明文件得2分；证明材料提供有缺陷，主要部件、配件、配套设备来源不够明确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来源渠道合法证明文件.docx</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供应商提供针对本项目人员组织安排。包括： 1、职责任务、分工明确； 2、服务人员具有专业技术能力（提供有效的证明材料）； 3、实施过程配备专人沟通并提供配合承诺等。 满分6分。每有一项缺项扣2分；每有一处内容存在缺陷，扣1分，扣完为止。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人员组织安排.docx</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供应商提供质量保证措施方案。包括： 1、服务质量标准及服务质量承诺； 2、确保服务质量的措施； 3、未达到质量标准的处罚措施等。 满分6分。每有一项缺项扣2分；每有一处内容存在缺陷扣1分，扣完为止。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质量保证措施方案.docx</w:t>
            </w:r>
          </w:p>
        </w:tc>
      </w:tr>
      <w:tr>
        <w:tc>
          <w:tcPr>
            <w:tcW w:type="dxa" w:w="831"/>
            <w:vMerge/>
          </w:tcPr>
          <w:p/>
        </w:tc>
        <w:tc>
          <w:tcPr>
            <w:tcW w:type="dxa" w:w="1661"/>
          </w:tcPr>
          <w:p>
            <w:pPr>
              <w:pStyle w:val="null3"/>
            </w:pPr>
            <w:r>
              <w:rPr>
                <w:rFonts w:ascii="仿宋_GB2312" w:hAnsi="仿宋_GB2312" w:cs="仿宋_GB2312" w:eastAsia="仿宋_GB2312"/>
              </w:rPr>
              <w:t>安全保证措施方案</w:t>
            </w:r>
          </w:p>
        </w:tc>
        <w:tc>
          <w:tcPr>
            <w:tcW w:type="dxa" w:w="2492"/>
          </w:tcPr>
          <w:p>
            <w:pPr>
              <w:pStyle w:val="null3"/>
            </w:pPr>
            <w:r>
              <w:rPr>
                <w:rFonts w:ascii="仿宋_GB2312" w:hAnsi="仿宋_GB2312" w:cs="仿宋_GB2312" w:eastAsia="仿宋_GB2312"/>
              </w:rPr>
              <w:t>供应商针对本项目提供安全保证措施方案。包括： 1、安全保证体系； 2、合理可行的安全保障措施； 3、安全事故处罚措施等。 满分6分。每有一项缺项扣2分；每有一处内容存在缺陷扣1分，扣完为止。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安全保证措施方案.docx</w:t>
            </w:r>
          </w:p>
        </w:tc>
      </w:tr>
      <w:tr>
        <w:tc>
          <w:tcPr>
            <w:tcW w:type="dxa" w:w="831"/>
            <w:vMerge/>
          </w:tcPr>
          <w:p/>
        </w:tc>
        <w:tc>
          <w:tcPr>
            <w:tcW w:type="dxa" w:w="1661"/>
          </w:tcPr>
          <w:p>
            <w:pPr>
              <w:pStyle w:val="null3"/>
            </w:pPr>
            <w:r>
              <w:rPr>
                <w:rFonts w:ascii="仿宋_GB2312" w:hAnsi="仿宋_GB2312" w:cs="仿宋_GB2312" w:eastAsia="仿宋_GB2312"/>
              </w:rPr>
              <w:t>维保时效保证措施方案</w:t>
            </w:r>
          </w:p>
        </w:tc>
        <w:tc>
          <w:tcPr>
            <w:tcW w:type="dxa" w:w="2492"/>
          </w:tcPr>
          <w:p>
            <w:pPr>
              <w:pStyle w:val="null3"/>
            </w:pPr>
            <w:r>
              <w:rPr>
                <w:rFonts w:ascii="仿宋_GB2312" w:hAnsi="仿宋_GB2312" w:cs="仿宋_GB2312" w:eastAsia="仿宋_GB2312"/>
              </w:rPr>
              <w:t>供应商提供维保时效保证措施方案。包括： 1、维保时效安排； 2、时效保障措施及承诺。 满分4分。每有一项缺项扣2分；每有一处内容存在缺陷扣1分，扣完为止。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维保时效保证措施方案.docx</w:t>
            </w:r>
          </w:p>
        </w:tc>
      </w:tr>
      <w:tr>
        <w:tc>
          <w:tcPr>
            <w:tcW w:type="dxa" w:w="831"/>
            <w:vMerge/>
          </w:tcPr>
          <w:p/>
        </w:tc>
        <w:tc>
          <w:tcPr>
            <w:tcW w:type="dxa" w:w="1661"/>
          </w:tcPr>
          <w:p>
            <w:pPr>
              <w:pStyle w:val="null3"/>
            </w:pPr>
            <w:r>
              <w:rPr>
                <w:rFonts w:ascii="仿宋_GB2312" w:hAnsi="仿宋_GB2312" w:cs="仿宋_GB2312" w:eastAsia="仿宋_GB2312"/>
              </w:rPr>
              <w:t>定期预防性检查及评估方案</w:t>
            </w:r>
          </w:p>
        </w:tc>
        <w:tc>
          <w:tcPr>
            <w:tcW w:type="dxa" w:w="2492"/>
          </w:tcPr>
          <w:p>
            <w:pPr>
              <w:pStyle w:val="null3"/>
            </w:pPr>
            <w:r>
              <w:rPr>
                <w:rFonts w:ascii="仿宋_GB2312" w:hAnsi="仿宋_GB2312" w:cs="仿宋_GB2312" w:eastAsia="仿宋_GB2312"/>
              </w:rPr>
              <w:t>供应商针对本项目提供定期预防性检查及评估方案，包括： 1、安全检查及评估； 2、系统检查及评估； 3、故障预警。 满分6分。每有一项缺项扣2分；每有一处内容存在缺陷，扣1分，扣完为止。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定期预防性检查及评估方案.docx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供应商提供突发情况应急措施方案。包括： 1、应急预案； 2、突发情况分析； 3、突发事件处理措施； 4、故障响应时间和维修服务时限。 满分8分。每有一项缺项扣2分；每有一处内容存在缺陷，扣1分，扣完为止。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根据供应商提供专业的技术培训方案，包括： 1、培训操作人员的承诺； 2、设备及配件平时使用技巧及保养方法； 3、培训方式； 4、培训时间和场次安排等。 满分4分。每有一项缺项扣1分；每有一处内容存在缺陷，扣0.5分，扣完为止。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技术培训方案.docx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设备日常保养维护方法，能够提出有价值的合理化建议，且具体切实可行，有利于延长设备使用寿命得3分；设备日常保养维护方法完整，提供了合理化建议但缺乏针对性得2分；设备日常保养维护方法有缺陷，合理化建议内容不适用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提供供应商自2022年9月1日至今(以合同签订日期为准)类似项目业绩合同，每份计1分，满分5分。 备注：需提供项目完整合同扫描件，加盖供应商公章。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落实政府采购政策进行价格调整的，以调整后的价格计算）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详见附件：技术参数.docx</w:t>
      </w:r>
    </w:p>
    <w:p>
      <w:pPr>
        <w:pStyle w:val="null3"/>
        <w:ind w:firstLine="960"/>
      </w:pPr>
      <w:r>
        <w:rPr>
          <w:rFonts w:ascii="仿宋_GB2312" w:hAnsi="仿宋_GB2312" w:cs="仿宋_GB2312" w:eastAsia="仿宋_GB2312"/>
        </w:rPr>
        <w:t>详见附件：整体维保方案.docx</w:t>
      </w:r>
    </w:p>
    <w:p>
      <w:pPr>
        <w:pStyle w:val="null3"/>
        <w:ind w:firstLine="960"/>
      </w:pPr>
      <w:r>
        <w:rPr>
          <w:rFonts w:ascii="仿宋_GB2312" w:hAnsi="仿宋_GB2312" w:cs="仿宋_GB2312" w:eastAsia="仿宋_GB2312"/>
        </w:rPr>
        <w:t>详见附件：维保设备及备品备件服务.docx</w:t>
      </w:r>
    </w:p>
    <w:p>
      <w:pPr>
        <w:pStyle w:val="null3"/>
        <w:ind w:firstLine="960"/>
      </w:pPr>
      <w:r>
        <w:rPr>
          <w:rFonts w:ascii="仿宋_GB2312" w:hAnsi="仿宋_GB2312" w:cs="仿宋_GB2312" w:eastAsia="仿宋_GB2312"/>
        </w:rPr>
        <w:t>详见附件：来源渠道合法证明文件.docx</w:t>
      </w:r>
    </w:p>
    <w:p>
      <w:pPr>
        <w:pStyle w:val="null3"/>
        <w:ind w:firstLine="960"/>
      </w:pPr>
      <w:r>
        <w:rPr>
          <w:rFonts w:ascii="仿宋_GB2312" w:hAnsi="仿宋_GB2312" w:cs="仿宋_GB2312" w:eastAsia="仿宋_GB2312"/>
        </w:rPr>
        <w:t>详见附件：人员组织安排.docx</w:t>
      </w:r>
    </w:p>
    <w:p>
      <w:pPr>
        <w:pStyle w:val="null3"/>
        <w:ind w:firstLine="960"/>
      </w:pPr>
      <w:r>
        <w:rPr>
          <w:rFonts w:ascii="仿宋_GB2312" w:hAnsi="仿宋_GB2312" w:cs="仿宋_GB2312" w:eastAsia="仿宋_GB2312"/>
        </w:rPr>
        <w:t>详见附件：质量保证措施方案.docx</w:t>
      </w:r>
    </w:p>
    <w:p>
      <w:pPr>
        <w:pStyle w:val="null3"/>
        <w:ind w:firstLine="960"/>
      </w:pPr>
      <w:r>
        <w:rPr>
          <w:rFonts w:ascii="仿宋_GB2312" w:hAnsi="仿宋_GB2312" w:cs="仿宋_GB2312" w:eastAsia="仿宋_GB2312"/>
        </w:rPr>
        <w:t>详见附件：安全保证措施方案.docx</w:t>
      </w:r>
    </w:p>
    <w:p>
      <w:pPr>
        <w:pStyle w:val="null3"/>
        <w:ind w:firstLine="960"/>
      </w:pPr>
      <w:r>
        <w:rPr>
          <w:rFonts w:ascii="仿宋_GB2312" w:hAnsi="仿宋_GB2312" w:cs="仿宋_GB2312" w:eastAsia="仿宋_GB2312"/>
        </w:rPr>
        <w:t>详见附件：维保时效保证措施方案.docx</w:t>
      </w:r>
    </w:p>
    <w:p>
      <w:pPr>
        <w:pStyle w:val="null3"/>
        <w:ind w:firstLine="960"/>
      </w:pPr>
      <w:r>
        <w:rPr>
          <w:rFonts w:ascii="仿宋_GB2312" w:hAnsi="仿宋_GB2312" w:cs="仿宋_GB2312" w:eastAsia="仿宋_GB2312"/>
        </w:rPr>
        <w:t>详见附件：定期预防性检查及评估方案.docx</w:t>
      </w:r>
    </w:p>
    <w:p>
      <w:pPr>
        <w:pStyle w:val="null3"/>
        <w:ind w:firstLine="960"/>
      </w:pPr>
      <w:r>
        <w:rPr>
          <w:rFonts w:ascii="仿宋_GB2312" w:hAnsi="仿宋_GB2312" w:cs="仿宋_GB2312" w:eastAsia="仿宋_GB2312"/>
        </w:rPr>
        <w:t>详见附件：应急措施方案.docx</w:t>
      </w:r>
    </w:p>
    <w:p>
      <w:pPr>
        <w:pStyle w:val="null3"/>
        <w:ind w:firstLine="960"/>
      </w:pPr>
      <w:r>
        <w:rPr>
          <w:rFonts w:ascii="仿宋_GB2312" w:hAnsi="仿宋_GB2312" w:cs="仿宋_GB2312" w:eastAsia="仿宋_GB2312"/>
        </w:rPr>
        <w:t>详见附件：技术培训方案.docx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