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版本号：CZXX-ZB-2501620250924002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动火作业供需平台建设项目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CZXX-ZB-25016</w:t>
      </w:r>
      <w:r>
        <w:br/>
      </w:r>
      <w:r>
        <w:br/>
      </w:r>
      <w:r>
        <w:br/>
      </w:r>
    </w:p>
    <w:p>
      <w:pPr>
        <w:pStyle w:val="null3"/>
        <w:jc w:val="center"/>
        <w:outlineLvl w:val="2"/>
      </w:pPr>
      <w:r>
        <w:rPr>
          <w:rFonts w:ascii="仿宋_GB2312" w:hAnsi="仿宋_GB2312" w:cs="仿宋_GB2312" w:eastAsia="仿宋_GB2312"/>
          <w:sz w:val="28"/>
          <w:b/>
        </w:rPr>
        <w:t>陕西省应急管理厅</w:t>
      </w:r>
    </w:p>
    <w:p>
      <w:pPr>
        <w:pStyle w:val="null3"/>
        <w:jc w:val="center"/>
        <w:outlineLvl w:val="2"/>
      </w:pPr>
      <w:r>
        <w:rPr>
          <w:rFonts w:ascii="仿宋_GB2312" w:hAnsi="仿宋_GB2312" w:cs="仿宋_GB2312" w:eastAsia="仿宋_GB2312"/>
          <w:sz w:val="28"/>
          <w:b/>
        </w:rPr>
        <w:t>中赞国际项目管理有限公司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中赞国际项目管理有限公司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陕西省应急管理厅</w:t>
      </w:r>
      <w:r>
        <w:rPr>
          <w:rFonts w:ascii="仿宋_GB2312" w:hAnsi="仿宋_GB2312" w:cs="仿宋_GB2312" w:eastAsia="仿宋_GB2312"/>
        </w:rPr>
        <w:t>委托，拟对</w:t>
      </w:r>
      <w:r>
        <w:rPr>
          <w:rFonts w:ascii="仿宋_GB2312" w:hAnsi="仿宋_GB2312" w:cs="仿宋_GB2312" w:eastAsia="仿宋_GB2312"/>
        </w:rPr>
        <w:t>动火作业供需平台建设项目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CZXX-ZB-25016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动火作业供需平台建设项目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精准满足全省动火作业行业人力资源招聘需求，陕西省应急管理厅拟在“陕企通”平台建设全省首个动火作业供需对接平台。该平台定位为专注动火作业领域的精准服务载体，打造“动火作业供需对接平台”，发布全省动火作业行业最新政策资讯信息，汇集展示动火作业行业招聘资源，确保岗位信息更新及时、真实可靠，同时提供动火作业专业资格证件查询等特色功能，保障企业用工和安全生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采购包1（动火作业供需平台建设项目）：属于专门面向中小企业采购。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1、资格条件：具有独立承担民事责任能力的法人、其他组织或自然人，并出具合法有效的营业执照，自然人参与的提供其身份证明；</w:t>
      </w:r>
    </w:p>
    <w:p>
      <w:pPr>
        <w:pStyle w:val="null3"/>
      </w:pPr>
      <w:r>
        <w:rPr>
          <w:rFonts w:ascii="仿宋_GB2312" w:hAnsi="仿宋_GB2312" w:cs="仿宋_GB2312" w:eastAsia="仿宋_GB2312"/>
        </w:rPr>
        <w:t>2、授权委托书：提供法定代表人授权委托书（附法定代表人、被授权人身份证复印件）及被授权人身份证原件（法定代表人直接参加投标需提供法定代表人身份证明及其身份证原件）</w:t>
      </w:r>
    </w:p>
    <w:p>
      <w:pPr>
        <w:pStyle w:val="null3"/>
      </w:pPr>
      <w:r>
        <w:rPr>
          <w:rFonts w:ascii="仿宋_GB2312" w:hAnsi="仿宋_GB2312" w:cs="仿宋_GB2312" w:eastAsia="仿宋_GB2312"/>
        </w:rPr>
        <w:t>3、财务状况证明：提供2024年度的财务审计报告（至少包括资产负债表和利润表，成立时间至提交响应文件截止时间不足一年的可提供成立后任意时段的资产负债表），或在开标日期前六个月内其基本开户银行出具的资信证明；</w:t>
      </w:r>
    </w:p>
    <w:p>
      <w:pPr>
        <w:pStyle w:val="null3"/>
      </w:pPr>
      <w:r>
        <w:rPr>
          <w:rFonts w:ascii="仿宋_GB2312" w:hAnsi="仿宋_GB2312" w:cs="仿宋_GB2312" w:eastAsia="仿宋_GB2312"/>
        </w:rPr>
        <w:t>4、税收缴纳证明：提供2025年1月至响应文件提交截止日内任意一个月的纳税证明或完税证明（任意税种），依法免税的单位应提供相关证明材料；</w:t>
      </w:r>
    </w:p>
    <w:p>
      <w:pPr>
        <w:pStyle w:val="null3"/>
      </w:pPr>
      <w:r>
        <w:rPr>
          <w:rFonts w:ascii="仿宋_GB2312" w:hAnsi="仿宋_GB2312" w:cs="仿宋_GB2312" w:eastAsia="仿宋_GB2312"/>
        </w:rPr>
        <w:t>5、社会保障资金缴纳证明：提供2025年1月至响应文件提交截止日内任意一个月的社会保障资金缴存单据或社保机构开具的社会保险参保缴费情况证明，依法不需要缴纳社会保障资金的单位应提供相关证明材料；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6、履行能力：具有履行合同所必需的设备和专业技术能力承诺函；</w:t>
      </w:r>
    </w:p>
    <w:p>
      <w:pPr>
        <w:pStyle w:val="null3"/>
      </w:pPr>
      <w:r>
        <w:rPr>
          <w:rFonts w:ascii="仿宋_GB2312" w:hAnsi="仿宋_GB2312" w:cs="仿宋_GB2312" w:eastAsia="仿宋_GB2312"/>
        </w:rPr>
        <w:t>7、无重大违法记录声明：提供参加本次政府采购活动前三年内在经营活动中没有重大违法记录的书面声明；</w:t>
      </w:r>
    </w:p>
    <w:p>
      <w:pPr>
        <w:pStyle w:val="null3"/>
      </w:pPr>
      <w:r>
        <w:rPr>
          <w:rFonts w:ascii="仿宋_GB2312" w:hAnsi="仿宋_GB2312" w:cs="仿宋_GB2312" w:eastAsia="仿宋_GB2312"/>
        </w:rPr>
        <w:t>8、信用记录：供应商不得为“中国执行信息公开网（zxgk.court.gov.cn）”被列入失信被执行人名单，“信用中国（www.creditchina.gov.cn）”重大税收违法失信主体名单；不得为“中国政府采购网（www.ccgp.gov.cn）”被列入政府采购严重违法失信行为记录名单；</w:t>
      </w:r>
    </w:p>
    <w:p>
      <w:pPr>
        <w:pStyle w:val="null3"/>
      </w:pPr>
      <w:r>
        <w:rPr>
          <w:rFonts w:ascii="仿宋_GB2312" w:hAnsi="仿宋_GB2312" w:cs="仿宋_GB2312" w:eastAsia="仿宋_GB2312"/>
        </w:rPr>
        <w:t>9、控股关系：单位负责人为同一人或者存在直接控股、管理关系的不同供应商，不得参加同一合同项下的政府采购活动；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10、中小企业：本项目专门面向中小企业；</w:t>
      </w:r>
    </w:p>
    <w:p>
      <w:pPr>
        <w:pStyle w:val="null3"/>
      </w:pPr>
      <w:r>
        <w:rPr>
          <w:rFonts w:ascii="仿宋_GB2312" w:hAnsi="仿宋_GB2312" w:cs="仿宋_GB2312" w:eastAsia="仿宋_GB2312"/>
        </w:rPr>
        <w:t>11、联合体：本项目不接受联合体投标。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陕西省应急管理厅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61166062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中赞国际项目管理有限公司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陕西省西安市未央区未央路2号老三届首座大厦2208室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徐工、张工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029-32203699、18791077121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计取。由成交供应商在领取成交通知书时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陕西省应急管理厅</w:t>
      </w:r>
      <w:r>
        <w:rPr>
          <w:rFonts w:ascii="仿宋_GB2312" w:hAnsi="仿宋_GB2312" w:cs="仿宋_GB2312" w:eastAsia="仿宋_GB2312"/>
        </w:rPr>
        <w:t>和</w:t>
      </w:r>
      <w:r>
        <w:rPr>
          <w:rFonts w:ascii="仿宋_GB2312" w:hAnsi="仿宋_GB2312" w:cs="仿宋_GB2312" w:eastAsia="仿宋_GB2312"/>
        </w:rPr>
        <w:t>中赞国际项目管理有限公司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陕西省应急管理厅</w:t>
      </w:r>
      <w:r>
        <w:rPr>
          <w:rFonts w:ascii="仿宋_GB2312" w:hAnsi="仿宋_GB2312" w:cs="仿宋_GB2312" w:eastAsia="仿宋_GB2312"/>
        </w:rPr>
        <w:t>负责解释。除上述磋商文件内容，其他内容由</w:t>
      </w:r>
      <w:r>
        <w:rPr>
          <w:rFonts w:ascii="仿宋_GB2312" w:hAnsi="仿宋_GB2312" w:cs="仿宋_GB2312" w:eastAsia="仿宋_GB2312"/>
        </w:rPr>
        <w:t>中赞国际项目管理有限公司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陕西省应急管理厅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中赞国际项目管理有限公司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软件系统开发与部署完成后，由供应商提交项目全套技术文档与《项目验收申请》，采购方组织验收。验收标准遵循软件行业通用标准。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中赞国际项目管理有限公司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中赞国际项目管理有限公司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中赞国际项目管理有限公司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联系人：徐工、张工</w:t>
      </w:r>
    </w:p>
    <w:p>
      <w:pPr>
        <w:pStyle w:val="null3"/>
      </w:pPr>
      <w:r>
        <w:rPr>
          <w:rFonts w:ascii="仿宋_GB2312" w:hAnsi="仿宋_GB2312" w:cs="仿宋_GB2312" w:eastAsia="仿宋_GB2312"/>
        </w:rPr>
        <w:t>联系电话：029-32203699、18791077121</w:t>
      </w:r>
    </w:p>
    <w:p>
      <w:pPr>
        <w:pStyle w:val="null3"/>
      </w:pPr>
      <w:r>
        <w:rPr>
          <w:rFonts w:ascii="仿宋_GB2312" w:hAnsi="仿宋_GB2312" w:cs="仿宋_GB2312" w:eastAsia="仿宋_GB2312"/>
        </w:rPr>
        <w:t>地址：陕西省西安市未央区未央路2号老三届首座大厦2208室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精准满足全省动火作业行业人力资源招聘需求，陕西省应急管理厅拟在“陕企通”平台建设全省首个动火作业供需对接平台。该平台定位为专注动火作业领域的精准服务载体，打造“动火作业供需对接平台”，发布全省动火作业行业最新政策资讯信息，汇集展示动火作业行业招聘资源，确保岗位信息更新及时、真实可靠，同时提供动火作业专业资格证件查询等特色功能，保障企业用工和安全生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w:t>
      </w:r>
    </w:p>
    <w:p>
      <w:pPr>
        <w:pStyle w:val="null3"/>
      </w:pPr>
      <w:r>
        <w:rPr>
          <w:rFonts w:ascii="仿宋_GB2312" w:hAnsi="仿宋_GB2312" w:cs="仿宋_GB2312" w:eastAsia="仿宋_GB2312"/>
        </w:rPr>
        <w:t>采购包最高限价（元）: 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动火作业供需平台建设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标的名称：动火作业供需平台建设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系统技术要求：</w:t>
            </w:r>
          </w:p>
          <w:p>
            <w:pPr>
              <w:pStyle w:val="null3"/>
            </w:pPr>
            <w:r>
              <w:rPr>
                <w:rFonts w:ascii="仿宋_GB2312" w:hAnsi="仿宋_GB2312" w:cs="仿宋_GB2312" w:eastAsia="仿宋_GB2312"/>
              </w:rPr>
              <w:t>1.动火作业供需对接平台必须符合国家各级信息系统平台相关信息安全法规要求。 2.动火作业供需对接平台需要部署在省级政务云平台，以云模式提供服务。 3.软件系统平台必须基于信创环境部署，包括服务器、操作系统、数据库均采用国产信创系统，并且具备健全的网络安全保障体系。 4. 动火作业供需对接平台软件系统用户认证体系需要和陕西省企业综合服务应用平台（陕企通）集成应用。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软件系统功能：</w:t>
            </w:r>
          </w:p>
          <w:p>
            <w:pPr>
              <w:pStyle w:val="null3"/>
            </w:pPr>
            <w:r>
              <w:rPr>
                <w:rFonts w:ascii="仿宋_GB2312" w:hAnsi="仿宋_GB2312" w:cs="仿宋_GB2312" w:eastAsia="仿宋_GB2312"/>
              </w:rPr>
              <w:t xml:space="preserve">  “动火作业供需对接平台”将在“陕企通”平台上分别开发面向企业和个人用户的PC、微信小程序、APP三端服务程序，并开发基于PC端的后台管理程序。</w:t>
            </w:r>
          </w:p>
          <w:p>
            <w:pPr>
              <w:pStyle w:val="null3"/>
            </w:pPr>
            <w:r>
              <w:rPr>
                <w:rFonts w:ascii="仿宋_GB2312" w:hAnsi="仿宋_GB2312" w:cs="仿宋_GB2312" w:eastAsia="仿宋_GB2312"/>
              </w:rPr>
              <w:t xml:space="preserve">  面向企业和个人用户服务端功能包括： 1．首页。在陕企通“特色专区”和“招人才”模块内部均设置入口，进入平台首页，分块展示宣传轮播图、政策资讯、安全知识、安全视频、最新岗位信息、岗位发布/简历投递入口、资格证书查询入口等内容。 2．政策资讯发布。及时收录国家和省内关于焊工行业相关的扶持政策等信息，为企业和个人提供快速查询、模糊搜索等功能，助力企业快速掌握行业资讯动态，提高行业动态知晓率。 3．安全知识。展示省内特种施工领域的安全知识资源。通过系统化管理和更新内容，确保平台能够为用户提供准确、全面的行业信息。 4．安全视频。展示焊工教育培训视频，以鲜活的形式向焊工群体科普安全操作知识。 5．企业焊工招聘专区（细分领域的人才招聘平台）。建立企业焊工招聘需求发布频道，通过平台认证的企业可作为需求方直接发布用工需求。焊工个人可以根据企业招聘需求在线投递简历。企业收到求职简历后进行对接，最终实现焊工专业人才供需对接。 6．焊工证件资格查询。根据实际需求外链国家职业技能鉴定信息管理服务平台，为企业提供官方查询服务，保障用工之前查询作业人员资格证书是否真实有效，保障企业用工合规和安全生产。</w:t>
            </w:r>
          </w:p>
          <w:p>
            <w:pPr>
              <w:pStyle w:val="null3"/>
            </w:pPr>
            <w:r>
              <w:rPr>
                <w:rFonts w:ascii="仿宋_GB2312" w:hAnsi="仿宋_GB2312" w:cs="仿宋_GB2312" w:eastAsia="仿宋_GB2312"/>
              </w:rPr>
              <w:t xml:space="preserve">  面向运营管理的后台管理程序功能： 1. 用户角色与权限管理； 2. 政策、资讯、通知公告上传、审核、发布管理； 3. 安全知识、安全宣传视频上传、审核、发布管理； 4. 宣传轮播图管理； 5. 企业岗位发布管理、个人求职信息管理、对接管理 ；6. 数据分析功能。</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系统用户设计：</w:t>
            </w:r>
          </w:p>
          <w:p>
            <w:pPr>
              <w:pStyle w:val="null3"/>
            </w:pPr>
            <w:r>
              <w:rPr>
                <w:rFonts w:ascii="仿宋_GB2312" w:hAnsi="仿宋_GB2312" w:cs="仿宋_GB2312" w:eastAsia="仿宋_GB2312"/>
              </w:rPr>
              <w:t xml:space="preserve">  “动火作业供需对接平台”支持以下用户使用： 1．企业：作为平台的主要服务对象，企业有招聘需求，可通过平台便捷发布招聘信息，了解求职情况、行业政策资讯。登录后，可以在线发布和维护自身需求。 2．焊工行业从业者：为专业群体提供信息查询服务，帮助其在平台寻找工作机会、学习行业知识。登录后，可以在查询热点信息、浏览用工需求、并维护个人信息。 3．指导部门：指导平台建设与运行，监测平台运行。 4．运营团队： 平台系统维护专岗：包括用户与角色管理、各类政策、资讯、通知公告、安全知识、安全视频数据上传、更新维护等工作。内容审核专岗：负责内容审核工作。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供应商应提供保障本项目技术支持人员不低于3人，包括系统分析员1人，软件开发工程师1人，软件系统运维工程师1人。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供应商自行提供用于保障本系统开发的服务器、PC等计算机设备。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签订合同后30个工作日内完成，项目验收后提供1年免费运维服务。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软件系统开发与部署完成后，由供应商提交项目全套技术文档与《项目验收申请》，采购方组织验收。验收标准遵循软件行业通用标准。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未按合同要求提供服务或服务质量不能满足技术要求，且在规定时间内未使采购人满意的，采购人有权终止合同并对其违约行为进行追究。具体按《中华人民共和国民法典》中的相关条款执行。（2）任何一方若违反本合同其他约定，致使本合同无法履行，违约方应向守约方赔偿实际损失。（3）如因成交供应商工作人员在履行职务过程中的疏忽、失职、过错等故意或者过失原因给甲方造成损失或侵害，包括但不限于对采购人造成财产损失、由此而导致的采购人对任何第三方的法律责任等，成交供应商对此均应承担全部的赔偿责任并负责妥善处理。（4）本合同约定的损失，包括但不限于直接或间接的经济损失、律师费、诉讼费、保全费、鉴定费等损失。（5）本合同约定的违约情形独立存在，可叠加适用。成交供应商按照合同约定应当向甲方支付的违约金，成交供应商同意采购人从应付未付款中直接予以扣除。</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成交供应商在领取成交通知书时提供响应文件纸质版（2份，建议双面打印）和电子版（U盘1份），应通过专用制作软件直接打印，确保与电子投标文件保持一致，不允许修改和补充。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2024年度的财务审计报告（至少包括资产负债表和利润表，成立时间至提交响应文件截止时间不足一年的可提供成立后任意时段的资产负债表），或在开标日期前六个月内其基本开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资格条件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提供法定代表人授权委托书（附法定代表人、被授权人身份证复印件）及被授权人身份证原件（法定代表人直接参加投标需提供法定代表人身份证明及其身份证原件）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提供2024年度的财务审计报告（至少包括资产负债表和利润表，成立时间至提交响应文件截止时间不足一年的可提供成立后任意时段的资产负债表），或在开标日期前六个月内其基本开户银行出具的资信证明；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提供2025年1月至响应文件提交截止日内任意一个月的纳税证明或完税证明（任意税种），依法免税的单位应提供相关证明材料；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提供2025年1月至响应文件提交截止日内任意一个月的社会保障资金缴存单据或社保机构开具的社会保险参保缴费情况证明，依法不需要缴纳社会保障资金的单位应提供相关证明材料；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中国执行信息公开网（zxgk.court.gov.cn）”被列入失信被执行人名单，“信用中国（www.creditchina.gov.cn）”重大税收违法失信主体名单；不得为“中国政府采购网（www.ccgp.gov.cn）”被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首轮报价表 分项报价表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首轮报价表 分项报价表 中小企业声明函 商务应答表 服务内容及服务要求应答表 响应文件封面 供应商应提交的相关资格证明材料.docx 类似项目业绩.docx 残疾人福利性单位声明函 响应函 陕西省政府采购供应商拒绝政府采购领域商业贿赂承诺书.docx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响应文件的签署、盖章符合磋商文件要求。</w:t>
            </w:r>
          </w:p>
        </w:tc>
        <w:tc>
          <w:tcPr>
            <w:tcW w:type="dxa" w:w="1661"/>
          </w:tcPr>
          <w:p>
            <w:pPr>
              <w:pStyle w:val="null3"/>
            </w:pPr>
            <w:r>
              <w:rPr>
                <w:rFonts w:ascii="仿宋_GB2312" w:hAnsi="仿宋_GB2312" w:cs="仿宋_GB2312" w:eastAsia="仿宋_GB2312"/>
              </w:rPr>
              <w:t>首轮报价表 分项报价表 中小企业声明函 商务应答表 服务内容及服务要求应答表 响应文件封面 供应商应提交的相关资格证明材料.docx 类似项目业绩.docx 残疾人福利性单位声明函 响应函 陕西省政府采购供应商拒绝政府采购领域商业贿赂承诺书.docx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响应文件构成无重大缺项，按照磋商文件要求的格式编写响应文件。</w:t>
            </w:r>
          </w:p>
        </w:tc>
        <w:tc>
          <w:tcPr>
            <w:tcW w:type="dxa" w:w="1661"/>
          </w:tcPr>
          <w:p>
            <w:pPr>
              <w:pStyle w:val="null3"/>
            </w:pPr>
            <w:r>
              <w:rPr>
                <w:rFonts w:ascii="仿宋_GB2312" w:hAnsi="仿宋_GB2312" w:cs="仿宋_GB2312" w:eastAsia="仿宋_GB2312"/>
              </w:rPr>
              <w:t>首轮报价表 分项报价表 中小企业声明函 商务应答表 服务内容及服务要求应答表 响应文件封面 供应商应提交的相关资格证明材料.docx 类似项目业绩.docx 残疾人福利性单位声明函 响应函 陕西省政府采购供应商拒绝政府采购领域商业贿赂承诺书.docx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磋商范围及服务要求</w:t>
            </w:r>
          </w:p>
        </w:tc>
        <w:tc>
          <w:tcPr>
            <w:tcW w:type="dxa" w:w="3322"/>
          </w:tcPr>
          <w:p>
            <w:pPr>
              <w:pStyle w:val="null3"/>
            </w:pPr>
            <w:r>
              <w:rPr>
                <w:rFonts w:ascii="仿宋_GB2312" w:hAnsi="仿宋_GB2312" w:cs="仿宋_GB2312" w:eastAsia="仿宋_GB2312"/>
              </w:rPr>
              <w:t>响应本项目服务要求，符合本项目磋商文件、合同要求。</w:t>
            </w:r>
          </w:p>
        </w:tc>
        <w:tc>
          <w:tcPr>
            <w:tcW w:type="dxa" w:w="1661"/>
          </w:tcPr>
          <w:p>
            <w:pPr>
              <w:pStyle w:val="null3"/>
            </w:pPr>
            <w:r>
              <w:rPr>
                <w:rFonts w:ascii="仿宋_GB2312" w:hAnsi="仿宋_GB2312" w:cs="仿宋_GB2312" w:eastAsia="仿宋_GB2312"/>
              </w:rPr>
              <w:t>首轮报价表 分项报价表 商务应答表 服务内容及服务要求应答表 响应函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符合本项目磋商文件要求</w:t>
            </w:r>
          </w:p>
        </w:tc>
        <w:tc>
          <w:tcPr>
            <w:tcW w:type="dxa" w:w="1661"/>
          </w:tcPr>
          <w:p>
            <w:pPr>
              <w:pStyle w:val="null3"/>
            </w:pPr>
            <w:r>
              <w:rPr>
                <w:rFonts w:ascii="仿宋_GB2312" w:hAnsi="仿宋_GB2312" w:cs="仿宋_GB2312" w:eastAsia="仿宋_GB2312"/>
              </w:rPr>
              <w:t>首轮报价表 分项报价表 商务应答表 服务内容及服务要求应答表 响应函 服务方案.docx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符合本项目磋商文件要求</w:t>
            </w:r>
          </w:p>
        </w:tc>
        <w:tc>
          <w:tcPr>
            <w:tcW w:type="dxa" w:w="1661"/>
          </w:tcPr>
          <w:p>
            <w:pPr>
              <w:pStyle w:val="null3"/>
            </w:pPr>
            <w:r>
              <w:rPr>
                <w:rFonts w:ascii="仿宋_GB2312" w:hAnsi="仿宋_GB2312" w:cs="仿宋_GB2312" w:eastAsia="仿宋_GB2312"/>
              </w:rPr>
              <w:t>供应商应提交的相关资格证明材料.docx 商务应答表 服务内容及服务要求应答表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报价唯一，且没有低于成本价或高于本项目最高限价。</w:t>
            </w:r>
          </w:p>
        </w:tc>
        <w:tc>
          <w:tcPr>
            <w:tcW w:type="dxa" w:w="1661"/>
          </w:tcPr>
          <w:p>
            <w:pPr>
              <w:pStyle w:val="null3"/>
            </w:pPr>
            <w:r>
              <w:rPr>
                <w:rFonts w:ascii="仿宋_GB2312" w:hAnsi="仿宋_GB2312" w:cs="仿宋_GB2312" w:eastAsia="仿宋_GB2312"/>
              </w:rPr>
              <w:t>首轮报价表 分项报价表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满足或优于磋商文件要求，不含有采购人不能接受的附加条件。</w:t>
            </w:r>
          </w:p>
        </w:tc>
        <w:tc>
          <w:tcPr>
            <w:tcW w:type="dxa" w:w="1661"/>
          </w:tcPr>
          <w:p>
            <w:pPr>
              <w:pStyle w:val="null3"/>
            </w:pPr>
            <w:r>
              <w:rPr>
                <w:rFonts w:ascii="仿宋_GB2312" w:hAnsi="仿宋_GB2312" w:cs="仿宋_GB2312" w:eastAsia="仿宋_GB2312"/>
              </w:rPr>
              <w:t>首轮报价表 供应商应提交的相关资格证明材料.docx 分项报价表 商务应答表 服务内容及服务要求应答表 响应函 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对本项目的实施背景、实施目的、实施意义、实施的重难点等具备充分的认识。 ①对本项目的总体认识定位准确，理解深刻，表述清晰，对项目实施的重点、难点把握精准得12分；②对本项目的总体认识定位较准确，理解较清晰，对项目实施的重点、难点把握较准确得10分；③对本项目的总体认识定位基本准确，基本理解项目，表述一般，对项目实施的重点、难点认识一般得8分；④总体认识定位不准确，表述不清晰，但内容均围绕项目展开得6分；⑤提供了需求理解分析，但内容简单，与项目关联度不大得4分；⑥此项未提供者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本项目平台建设总体方案，方案包括但不限于实施计划、系统设计、关键技术、系统功能、运维及成果应用方案等。①方案完整全面、科学合理、可操作性强，完全满足采购人需求得12分；②方案全面，可操作性较强，基本满足采购人需求得10分；③方案基本完善，可操作性一般得8分；④方案简单，内容空泛得6分；⑤方案内容有缺漏，不能满足采购人需求得4分；⑥此项未提供者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提供针对本项目的工作进度控制方案，包括但不限于：全过程工作计划、时间节点安排、保证措施等。①方案条理清晰，进度合理，措施完善可行性强，完全能够确保服务时限得8分；②方案条理较清晰，进度安排较合理，措施有一定可行性，基本能够确保服务时限得6分；③方案有一定针对性，进度安排无具体节点规划，无法确保服务期限得4分；④方案内容简单笼统，无针对性得2分；⑤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提供针对本项目的工作质量控制方案。①方案结合本项目实际情况、组织合理高效，完全能够确保成果质量并进行提升得8分；②方案结合本项目实际情况、有一定组织性，基本能够确保成果质量并进行提升得6分；③方案有一定针对性，但欠缺项目组织，内容简单，无法确保成果质量得4分；④方案内容简单笼统，无针对性得2分；⑤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风险管理措施方案</w:t>
            </w:r>
          </w:p>
        </w:tc>
        <w:tc>
          <w:tcPr>
            <w:tcW w:type="dxa" w:w="2492"/>
          </w:tcPr>
          <w:p>
            <w:pPr>
              <w:pStyle w:val="null3"/>
            </w:pPr>
            <w:r>
              <w:rPr>
                <w:rFonts w:ascii="仿宋_GB2312" w:hAnsi="仿宋_GB2312" w:cs="仿宋_GB2312" w:eastAsia="仿宋_GB2312"/>
              </w:rPr>
              <w:t>根据供应商提供的风险管理措施方案内容的完整性进行综合比较评分。①方案内容详细、合理得8分；②方案内容基本合理得6分；③方案基本完善，可操作性一般得4分；④方案内容不完善，内容欠缺得2分；⑤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针对项目实施过程中可能出现的突发事件提供应急预案。应急预案全面，处理保障措施完善，有明确的应急机制，应急响应时间合理、人员保证充分，设施设备调配科学，处置方案有针对性。①应急预案全面详细、可操作性和针对性强得8分；②应急预案基本全面、可操作性、针对性一般得6分；③应急预案基本全面，但无可操作性得4分；④方案内容简单笼统、欠缺、无针对性得2分；⑤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培训方案（全面、完整、可行、有针对性的培训方案，能够保障使用单位能熟练操作维护和正常使用等）、培训内容及方式（包括但不限于培训人员、培训地点、培训时间安排、培训内容、培训计划、培训目标、培训师资和培训结果及考评方式等内容）。①方案内容详细、合理得8分；②方案内容基本合理得6分；③方案基本完善，可操作性一般得4分；④方案内容不完善，内容欠缺得2分；⑤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售后服务方案（售后方案、服务承诺、平台故障响应时限及保障措施等）、售后服务机构及能力（售后服务机构、人员，具有针对本项目的技术支持能力等）、运维和配套服务方案。①方案内容详细、合理、可操作性强得10分；②方案内容基本合理完善、具有可操作性得8分；③方案全面，可操作性一般得6分；④方案简单，操作性较弱得4分；⑤方案内容不完善，内容欠缺得2分；⑥此项未提供者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拟投入的团队人员方案</w:t>
            </w:r>
          </w:p>
        </w:tc>
        <w:tc>
          <w:tcPr>
            <w:tcW w:type="dxa" w:w="2492"/>
          </w:tcPr>
          <w:p>
            <w:pPr>
              <w:pStyle w:val="null3"/>
            </w:pPr>
            <w:r>
              <w:rPr>
                <w:rFonts w:ascii="仿宋_GB2312" w:hAnsi="仿宋_GB2312" w:cs="仿宋_GB2312" w:eastAsia="仿宋_GB2312"/>
              </w:rPr>
              <w:t>针对本项目提供拟投入的团队人员方案，组织机构设置合理，管理人员及技术人员配备数量充足、人员职责明确、分工清晰合理、相关项目实施经验丰富，满足项目实施要求。 ①人员配备完善合理、工作经验丰富得10分；②人员配备分工较明确，工作经验丰富一般得5分；③人员配备分工不明确，工作经验丰富较差得2分；④此项未提供者不计分。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提供2022年1月1日至今类似项目业绩，每个业绩计 2 分，满分 6分。（业绩资料提供合同复印件，复印件加盖公章。以合同签订日期为准。）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价格分统一采用低价优先法计算，即满足磋商文件要求且有效报价最低的供应商的价格为评标基准价，其价格分为满分。 其他供应商的价格分统一按照下列公式计算：报价得分=（基准价/最后供应商报价）×价格权值×100 ，计算分数时四舍五入取小数点后两位。 本项目为专门面向中小企业的项目，不给予价格折扣。</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首轮报价表</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详见附件：首轮报价表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详见附件：类似项目业绩.docx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