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版本号：0701-2541SX06001120250925003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陕西省自然灾害应急能力提升工程（预警指挥项目）之森林草原火险因子综合监测站建设项目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0701-2541SX060011</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陕西省自然灾害应急能力提升工程（预警指挥项目）之森林草原火险因子综合监测站建设项目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0701-2541SX060011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陕西省自然灾害应急能力提升工程（预警指挥项目）之森林草原火险因子综合监测站建设项目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购置森林草原火险综合监测站等设备，做好项目装备采购验收等；主要功能或目标:2025年底前，建成陕西省自然灾害防治预警指挥体系，实现自然灾害防治数据横向互联、纵向贯通；需满足的要求:符合中央增发国债要求，满足现实应用和技术发展需求，报告编制及成果须符合应急管理部、陕西省的相关要求，抓好项目管理服务。本项目计划采购森林草原火险因子综合监测站80套（西安市1套，宝鸡市8套，汉中市15套，安康市17套，商洛市39套），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投标，须提供法定代表人身份证明及身份证复印件；授权代表参与投标，须提供法定代表人授权书（附法定代表人、被授权人身份证复印件）及被授权人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10071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李冬、刘育丰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18066804314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开户名称：中技国际招标有限公司</w:t>
            </w:r>
          </w:p>
          <w:p>
            <w:pPr>
              <w:pStyle w:val="null3"/>
            </w:pPr>
            <w:r>
              <w:rPr>
                <w:rFonts w:ascii="仿宋_GB2312" w:hAnsi="仿宋_GB2312" w:cs="仿宋_GB2312" w:eastAsia="仿宋_GB2312"/>
              </w:rPr>
              <w:t>开户银行：中国银行总行营业部</w:t>
            </w:r>
          </w:p>
          <w:p>
            <w:pPr>
              <w:pStyle w:val="null3"/>
            </w:pPr>
            <w:r>
              <w:rPr>
                <w:rFonts w:ascii="仿宋_GB2312" w:hAnsi="仿宋_GB2312" w:cs="仿宋_GB2312" w:eastAsia="仿宋_GB2312"/>
              </w:rPr>
              <w:t>银行账号：778350010653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说明：缴纳时间：合同签订前；缴纳形式：提供基本户的开户行保函或转账形式缴纳。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代理服务费收费标准：1、本项目招标代理服务费参照《招标代理服务收费管理暂行办法》计价格[2002]1980号文和发改价格[2011]534号收费标准收取代理费，若计算结果不足人民币6000.00元的按6000.00元收取。 2、本项目中标服务费按货物计取。 户名：中技国际招标有限公司 开户行：中国银行总行营业部 账号：778350010653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联系人：李冬、刘育丰</w:t>
      </w:r>
    </w:p>
    <w:p>
      <w:pPr>
        <w:pStyle w:val="null3"/>
      </w:pPr>
      <w:r>
        <w:rPr>
          <w:rFonts w:ascii="仿宋_GB2312" w:hAnsi="仿宋_GB2312" w:cs="仿宋_GB2312" w:eastAsia="仿宋_GB2312"/>
        </w:rPr>
        <w:t>联系电话：18066804314</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购置森林草原火险综合监测站等设备，做好项目装备采购验收等；主要功能或目标:2025年底前，建成陕西省自然灾害防治预警指挥体系，实现自然灾害防治数据横向互联、纵向贯通；需满足的要求:符合中央增发国债要求，满足现实应用和技术发展需求，报告编制及成果须符合应急管理部、陕西省的相关要求，抓好项目管理服务。本项目计划采购森林草原火险因子综合监测站80套（西安市1套，宝鸡市8套，汉中市15套，安康市17套，商洛市39套），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14,800,020.00</w:t>
      </w:r>
    </w:p>
    <w:p>
      <w:pPr>
        <w:pStyle w:val="null3"/>
      </w:pPr>
      <w:r>
        <w:rPr>
          <w:rFonts w:ascii="仿宋_GB2312" w:hAnsi="仿宋_GB2312" w:cs="仿宋_GB2312" w:eastAsia="仿宋_GB2312"/>
        </w:rPr>
        <w:t>采购包最高限价（元）: 14,800,020.00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森林草原火险因子综合监测站</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14,800,020.00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标的名称：森林草原火险因子综合监测站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货物名称、数量及技术要求</w:t>
            </w:r>
          </w:p>
          <w:p>
            <w:pPr>
              <w:pStyle w:val="null3"/>
              <w:ind w:left="570"/>
              <w:jc w:val="both"/>
              <w:outlineLvl w:val="2"/>
            </w:pPr>
            <w:r>
              <w:rPr>
                <w:rFonts w:ascii="仿宋_GB2312" w:hAnsi="仿宋_GB2312" w:cs="仿宋_GB2312" w:eastAsia="仿宋_GB2312"/>
                <w:sz w:val="20"/>
                <w:b/>
                <w:color w:val="000000"/>
              </w:rPr>
              <w:t>1、森林草原火险综合监测站</w:t>
            </w:r>
          </w:p>
          <w:tbl>
            <w:tblPr>
              <w:tblInd w:type="dxa" w:w="120"/>
              <w:tblBorders>
                <w:top w:val="none" w:color="000000" w:sz="4"/>
                <w:left w:val="none" w:color="000000" w:sz="4"/>
                <w:bottom w:val="none" w:color="000000" w:sz="4"/>
                <w:right w:val="none" w:color="000000" w:sz="4"/>
                <w:insideH w:val="none"/>
                <w:insideV w:val="none"/>
              </w:tblBorders>
            </w:tblPr>
            <w:tblGrid>
              <w:gridCol w:w="2150"/>
              <w:gridCol w:w="167"/>
              <w:gridCol w:w="139"/>
            </w:tblGrid>
            <w:tr>
              <w:tc>
                <w:tcPr>
                  <w:tcW w:type="dxa" w:w="2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指标要求</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监测指标</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可燃物含水率传感器监测指标</w:t>
                  </w:r>
                  <w:r>
                    <w:br/>
                  </w:r>
                  <w:r>
                    <w:rPr>
                      <w:rFonts w:ascii="仿宋_GB2312" w:hAnsi="仿宋_GB2312" w:cs="仿宋_GB2312" w:eastAsia="仿宋_GB2312"/>
                      <w:sz w:val="20"/>
                    </w:rPr>
                    <w:t>传感器具备同时测量地表凋落物含水率（综合表层、内层）、土壤含水率、地表温湿度、地表物候状态等火险因子，具备一体化高度集成特点，保证长期可靠工作，避免探针外露。</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）地表凋落物含水率</w:t>
                  </w:r>
                </w:p>
                <w:p>
                  <w:pPr>
                    <w:pStyle w:val="null3"/>
                    <w:jc w:val="both"/>
                  </w:pPr>
                  <w:r>
                    <w:rPr>
                      <w:rFonts w:ascii="仿宋_GB2312" w:hAnsi="仿宋_GB2312" w:cs="仿宋_GB2312" w:eastAsia="仿宋_GB2312"/>
                      <w:sz w:val="20"/>
                    </w:rPr>
                    <w:t>测量对象：地表针叶</w:t>
                  </w:r>
                  <w:r>
                    <w:rPr>
                      <w:rFonts w:ascii="仿宋_GB2312" w:hAnsi="仿宋_GB2312" w:cs="仿宋_GB2312" w:eastAsia="仿宋_GB2312"/>
                      <w:sz w:val="20"/>
                    </w:rPr>
                    <w:t>/</w:t>
                  </w:r>
                  <w:r>
                    <w:rPr>
                      <w:rFonts w:ascii="仿宋_GB2312" w:hAnsi="仿宋_GB2312" w:cs="仿宋_GB2312" w:eastAsia="仿宋_GB2312"/>
                      <w:sz w:val="20"/>
                    </w:rPr>
                    <w:t>阔叶</w:t>
                  </w:r>
                  <w:r>
                    <w:rPr>
                      <w:rFonts w:ascii="仿宋_GB2312" w:hAnsi="仿宋_GB2312" w:cs="仿宋_GB2312" w:eastAsia="仿宋_GB2312"/>
                      <w:sz w:val="20"/>
                    </w:rPr>
                    <w:t>/</w:t>
                  </w:r>
                  <w:r>
                    <w:rPr>
                      <w:rFonts w:ascii="仿宋_GB2312" w:hAnsi="仿宋_GB2312" w:cs="仿宋_GB2312" w:eastAsia="仿宋_GB2312"/>
                      <w:sz w:val="20"/>
                    </w:rPr>
                    <w:t>针阔混</w:t>
                  </w:r>
                  <w:r>
                    <w:rPr>
                      <w:rFonts w:ascii="仿宋_GB2312" w:hAnsi="仿宋_GB2312" w:cs="仿宋_GB2312" w:eastAsia="仿宋_GB2312"/>
                      <w:sz w:val="20"/>
                    </w:rPr>
                    <w:t>/</w:t>
                  </w:r>
                  <w:r>
                    <w:rPr>
                      <w:rFonts w:ascii="仿宋_GB2312" w:hAnsi="仿宋_GB2312" w:cs="仿宋_GB2312" w:eastAsia="仿宋_GB2312"/>
                      <w:sz w:val="20"/>
                    </w:rPr>
                    <w:t>细枯枝；</w:t>
                  </w:r>
                </w:p>
                <w:p>
                  <w:pPr>
                    <w:pStyle w:val="null3"/>
                    <w:jc w:val="both"/>
                  </w:pPr>
                  <w:r>
                    <w:rPr>
                      <w:rFonts w:ascii="仿宋_GB2312" w:hAnsi="仿宋_GB2312" w:cs="仿宋_GB2312" w:eastAsia="仿宋_GB2312"/>
                      <w:sz w:val="20"/>
                    </w:rPr>
                    <w:t>支持凋落物厚度：</w:t>
                  </w:r>
                  <w:r>
                    <w:rPr>
                      <w:rFonts w:ascii="仿宋_GB2312" w:hAnsi="仿宋_GB2312" w:cs="仿宋_GB2312" w:eastAsia="仿宋_GB2312"/>
                      <w:sz w:val="20"/>
                    </w:rPr>
                    <w:t>2cm</w:t>
                  </w:r>
                  <w:r>
                    <w:rPr>
                      <w:rFonts w:ascii="仿宋_GB2312" w:hAnsi="仿宋_GB2312" w:cs="仿宋_GB2312" w:eastAsia="仿宋_GB2312"/>
                      <w:sz w:val="20"/>
                    </w:rPr>
                    <w:t>～</w:t>
                  </w:r>
                  <w:r>
                    <w:rPr>
                      <w:rFonts w:ascii="仿宋_GB2312" w:hAnsi="仿宋_GB2312" w:cs="仿宋_GB2312" w:eastAsia="仿宋_GB2312"/>
                      <w:sz w:val="20"/>
                    </w:rPr>
                    <w:t>10cm</w:t>
                  </w:r>
                  <w:r>
                    <w:rPr>
                      <w:rFonts w:ascii="仿宋_GB2312" w:hAnsi="仿宋_GB2312" w:cs="仿宋_GB2312" w:eastAsia="仿宋_GB2312"/>
                      <w:sz w:val="20"/>
                    </w:rPr>
                    <w:t>，设置为与实地森林凋落物环境相同；</w:t>
                  </w:r>
                </w:p>
                <w:p>
                  <w:pPr>
                    <w:pStyle w:val="null3"/>
                    <w:jc w:val="both"/>
                  </w:pPr>
                  <w:r>
                    <w:rPr>
                      <w:rFonts w:ascii="仿宋_GB2312" w:hAnsi="仿宋_GB2312" w:cs="仿宋_GB2312" w:eastAsia="仿宋_GB2312"/>
                      <w:sz w:val="20"/>
                    </w:rPr>
                    <w:t>支持凋落物含水率等关键因子的远程标定与云端校准；</w:t>
                  </w:r>
                </w:p>
                <w:p>
                  <w:pPr>
                    <w:pStyle w:val="null3"/>
                    <w:jc w:val="both"/>
                  </w:pPr>
                  <w:r>
                    <w:rPr>
                      <w:rFonts w:ascii="仿宋_GB2312" w:hAnsi="仿宋_GB2312" w:cs="仿宋_GB2312" w:eastAsia="仿宋_GB2312"/>
                      <w:sz w:val="20"/>
                    </w:rPr>
                    <w:t>支持根据凋落物样本缓变自动校准；</w:t>
                  </w:r>
                </w:p>
                <w:p>
                  <w:pPr>
                    <w:pStyle w:val="null3"/>
                    <w:jc w:val="both"/>
                  </w:pPr>
                  <w:r>
                    <w:rPr>
                      <w:rFonts w:ascii="仿宋_GB2312" w:hAnsi="仿宋_GB2312" w:cs="仿宋_GB2312" w:eastAsia="仿宋_GB2312"/>
                      <w:sz w:val="20"/>
                    </w:rPr>
                    <w:t>支持物候状态联动突变校准；</w:t>
                  </w:r>
                </w:p>
                <w:p>
                  <w:pPr>
                    <w:pStyle w:val="null3"/>
                    <w:jc w:val="both"/>
                  </w:pPr>
                  <w:r>
                    <w:rPr>
                      <w:rFonts w:ascii="仿宋_GB2312" w:hAnsi="仿宋_GB2312" w:cs="仿宋_GB2312" w:eastAsia="仿宋_GB2312"/>
                      <w:sz w:val="20"/>
                    </w:rPr>
                    <w:t>具备防锈防腐蚀能力，耐高低温与高辐射；</w:t>
                  </w:r>
                </w:p>
                <w:p>
                  <w:pPr>
                    <w:pStyle w:val="null3"/>
                    <w:jc w:val="both"/>
                  </w:pPr>
                  <w:r>
                    <w:rPr>
                      <w:rFonts w:ascii="仿宋_GB2312" w:hAnsi="仿宋_GB2312" w:cs="仿宋_GB2312" w:eastAsia="仿宋_GB2312"/>
                      <w:sz w:val="20"/>
                    </w:rPr>
                    <w:t>表层探测模式：多光谱表层直接测量；</w:t>
                  </w:r>
                </w:p>
                <w:p>
                  <w:pPr>
                    <w:pStyle w:val="null3"/>
                    <w:jc w:val="both"/>
                  </w:pPr>
                  <w:r>
                    <w:rPr>
                      <w:rFonts w:ascii="仿宋_GB2312" w:hAnsi="仿宋_GB2312" w:cs="仿宋_GB2312" w:eastAsia="仿宋_GB2312"/>
                      <w:sz w:val="20"/>
                    </w:rPr>
                    <w:t>内层探测模式：微波内层直接测量；</w:t>
                  </w:r>
                </w:p>
                <w:p>
                  <w:pPr>
                    <w:pStyle w:val="null3"/>
                    <w:jc w:val="both"/>
                  </w:pPr>
                  <w:r>
                    <w:rPr>
                      <w:rFonts w:ascii="仿宋_GB2312" w:hAnsi="仿宋_GB2312" w:cs="仿宋_GB2312" w:eastAsia="仿宋_GB2312"/>
                      <w:sz w:val="20"/>
                    </w:rPr>
                    <w:t>频段：</w:t>
                  </w:r>
                  <w:r>
                    <w:rPr>
                      <w:rFonts w:ascii="仿宋_GB2312" w:hAnsi="仿宋_GB2312" w:cs="仿宋_GB2312" w:eastAsia="仿宋_GB2312"/>
                      <w:sz w:val="20"/>
                    </w:rPr>
                    <w:t>100Mhz</w:t>
                  </w:r>
                  <w:r>
                    <w:rPr>
                      <w:rFonts w:ascii="仿宋_GB2312" w:hAnsi="仿宋_GB2312" w:cs="仿宋_GB2312" w:eastAsia="仿宋_GB2312"/>
                      <w:sz w:val="20"/>
                    </w:rPr>
                    <w:t>～</w:t>
                  </w:r>
                  <w:r>
                    <w:rPr>
                      <w:rFonts w:ascii="仿宋_GB2312" w:hAnsi="仿宋_GB2312" w:cs="仿宋_GB2312" w:eastAsia="仿宋_GB2312"/>
                      <w:sz w:val="20"/>
                    </w:rPr>
                    <w:t>200Mhz</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质量含水率测量精度：</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（质量含水率≤</w:t>
                  </w:r>
                  <w:r>
                    <w:rPr>
                      <w:rFonts w:ascii="仿宋_GB2312" w:hAnsi="仿宋_GB2312" w:cs="仿宋_GB2312" w:eastAsia="仿宋_GB2312"/>
                      <w:sz w:val="20"/>
                    </w:rPr>
                    <w:t>35%</w:t>
                  </w:r>
                  <w:r>
                    <w:rPr>
                      <w:rFonts w:ascii="仿宋_GB2312" w:hAnsi="仿宋_GB2312" w:cs="仿宋_GB2312" w:eastAsia="仿宋_GB2312"/>
                      <w:sz w:val="20"/>
                    </w:rPr>
                    <w:t>时）；±</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35%</w:t>
                  </w:r>
                  <w:r>
                    <w:rPr>
                      <w:rFonts w:ascii="仿宋_GB2312" w:hAnsi="仿宋_GB2312" w:cs="仿宋_GB2312" w:eastAsia="仿宋_GB2312"/>
                      <w:sz w:val="20"/>
                    </w:rPr>
                    <w:t>＜质量含水率≤</w:t>
                  </w:r>
                  <w:r>
                    <w:rPr>
                      <w:rFonts w:ascii="仿宋_GB2312" w:hAnsi="仿宋_GB2312" w:cs="仿宋_GB2312" w:eastAsia="仿宋_GB2312"/>
                      <w:sz w:val="20"/>
                    </w:rPr>
                    <w:t>100%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测量模型：内置本地化测量模型；</w:t>
                  </w:r>
                </w:p>
                <w:p>
                  <w:pPr>
                    <w:pStyle w:val="null3"/>
                    <w:jc w:val="both"/>
                  </w:pPr>
                  <w:r>
                    <w:rPr>
                      <w:rFonts w:ascii="仿宋_GB2312" w:hAnsi="仿宋_GB2312" w:cs="仿宋_GB2312" w:eastAsia="仿宋_GB2312"/>
                      <w:sz w:val="20"/>
                    </w:rPr>
                    <w:t>模型数据来源：不小于</w:t>
                  </w:r>
                  <w:r>
                    <w:rPr>
                      <w:rFonts w:ascii="仿宋_GB2312" w:hAnsi="仿宋_GB2312" w:cs="仿宋_GB2312" w:eastAsia="仿宋_GB2312"/>
                      <w:sz w:val="20"/>
                    </w:rPr>
                    <w:t>10000</w:t>
                  </w:r>
                  <w:r>
                    <w:rPr>
                      <w:rFonts w:ascii="仿宋_GB2312" w:hAnsi="仿宋_GB2312" w:cs="仿宋_GB2312" w:eastAsia="仿宋_GB2312"/>
                      <w:sz w:val="20"/>
                    </w:rPr>
                    <w:t>小时野外无故障监测。</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）地表可燃物物候状态</w:t>
                  </w:r>
                </w:p>
                <w:p>
                  <w:pPr>
                    <w:pStyle w:val="null3"/>
                    <w:jc w:val="both"/>
                  </w:pPr>
                  <w:r>
                    <w:rPr>
                      <w:rFonts w:ascii="仿宋_GB2312" w:hAnsi="仿宋_GB2312" w:cs="仿宋_GB2312" w:eastAsia="仿宋_GB2312"/>
                      <w:sz w:val="20"/>
                    </w:rPr>
                    <w:t>探测范围：地表凋落物样本区；</w:t>
                  </w:r>
                </w:p>
                <w:p>
                  <w:pPr>
                    <w:pStyle w:val="null3"/>
                    <w:jc w:val="both"/>
                  </w:pPr>
                  <w:r>
                    <w:rPr>
                      <w:rFonts w:ascii="仿宋_GB2312" w:hAnsi="仿宋_GB2312" w:cs="仿宋_GB2312" w:eastAsia="仿宋_GB2312"/>
                      <w:sz w:val="20"/>
                    </w:rPr>
                    <w:t>探测模式；多光谱模式；</w:t>
                  </w:r>
                </w:p>
                <w:p>
                  <w:pPr>
                    <w:pStyle w:val="null3"/>
                    <w:jc w:val="both"/>
                  </w:pPr>
                  <w:r>
                    <w:rPr>
                      <w:rFonts w:ascii="仿宋_GB2312" w:hAnsi="仿宋_GB2312" w:cs="仿宋_GB2312" w:eastAsia="仿宋_GB2312"/>
                      <w:sz w:val="20"/>
                    </w:rPr>
                    <w:t>物候分析能力：基于</w:t>
                  </w:r>
                  <w:r>
                    <w:rPr>
                      <w:rFonts w:ascii="仿宋_GB2312" w:hAnsi="仿宋_GB2312" w:cs="仿宋_GB2312" w:eastAsia="仿宋_GB2312"/>
                      <w:sz w:val="20"/>
                    </w:rPr>
                    <w:t>AI</w:t>
                  </w:r>
                  <w:r>
                    <w:rPr>
                      <w:rFonts w:ascii="仿宋_GB2312" w:hAnsi="仿宋_GB2312" w:cs="仿宋_GB2312" w:eastAsia="仿宋_GB2312"/>
                      <w:sz w:val="20"/>
                    </w:rPr>
                    <w:t>自动识别返青、积雪，判断草雪覆盖情况；</w:t>
                  </w:r>
                </w:p>
                <w:p>
                  <w:pPr>
                    <w:pStyle w:val="null3"/>
                    <w:jc w:val="both"/>
                  </w:pPr>
                  <w:r>
                    <w:rPr>
                      <w:rFonts w:ascii="仿宋_GB2312" w:hAnsi="仿宋_GB2312" w:cs="仿宋_GB2312" w:eastAsia="仿宋_GB2312"/>
                      <w:sz w:val="20"/>
                    </w:rPr>
                    <w:t>样本分析能力：识别样本异常；</w:t>
                  </w:r>
                </w:p>
                <w:p>
                  <w:pPr>
                    <w:pStyle w:val="null3"/>
                    <w:jc w:val="both"/>
                  </w:pPr>
                  <w:r>
                    <w:rPr>
                      <w:rFonts w:ascii="仿宋_GB2312" w:hAnsi="仿宋_GB2312" w:cs="仿宋_GB2312" w:eastAsia="仿宋_GB2312"/>
                      <w:sz w:val="20"/>
                    </w:rPr>
                    <w:t>上报模式：定时</w:t>
                  </w:r>
                  <w:r>
                    <w:rPr>
                      <w:rFonts w:ascii="仿宋_GB2312" w:hAnsi="仿宋_GB2312" w:cs="仿宋_GB2312" w:eastAsia="仿宋_GB2312"/>
                      <w:sz w:val="20"/>
                    </w:rPr>
                    <w:t>/</w:t>
                  </w:r>
                  <w:r>
                    <w:rPr>
                      <w:rFonts w:ascii="仿宋_GB2312" w:hAnsi="仿宋_GB2312" w:cs="仿宋_GB2312" w:eastAsia="仿宋_GB2312"/>
                      <w:sz w:val="20"/>
                    </w:rPr>
                    <w:t>手动指令下发；</w:t>
                  </w:r>
                </w:p>
                <w:p>
                  <w:pPr>
                    <w:pStyle w:val="null3"/>
                    <w:jc w:val="both"/>
                  </w:pPr>
                  <w:r>
                    <w:rPr>
                      <w:rFonts w:ascii="仿宋_GB2312" w:hAnsi="仿宋_GB2312" w:cs="仿宋_GB2312" w:eastAsia="仿宋_GB2312"/>
                      <w:sz w:val="20"/>
                    </w:rPr>
                    <w:t>集成模式：一体化集成。</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）土壤容积含水率</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0-50%Vol</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测量深度：</w:t>
                  </w:r>
                  <w:r>
                    <w:rPr>
                      <w:rFonts w:ascii="仿宋_GB2312" w:hAnsi="仿宋_GB2312" w:cs="仿宋_GB2312" w:eastAsia="仿宋_GB2312"/>
                      <w:sz w:val="20"/>
                    </w:rPr>
                    <w:t>≥</w:t>
                  </w:r>
                  <w:r>
                    <w:rPr>
                      <w:rFonts w:ascii="仿宋_GB2312" w:hAnsi="仿宋_GB2312" w:cs="仿宋_GB2312" w:eastAsia="仿宋_GB2312"/>
                      <w:sz w:val="20"/>
                    </w:rPr>
                    <w:t>10cm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测量精度：</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）地表空气温度</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精度误差：</w:t>
                  </w:r>
                  <w:r>
                    <w:rPr>
                      <w:rFonts w:ascii="仿宋_GB2312" w:hAnsi="仿宋_GB2312" w:cs="仿宋_GB2312" w:eastAsia="仿宋_GB2312"/>
                      <w:sz w:val="20"/>
                    </w:rPr>
                    <w:t>≤±</w:t>
                  </w:r>
                  <w:r>
                    <w:rPr>
                      <w:rFonts w:ascii="仿宋_GB2312" w:hAnsi="仿宋_GB2312" w:cs="仿宋_GB2312" w:eastAsia="仿宋_GB2312"/>
                      <w:sz w:val="20"/>
                    </w:rPr>
                    <w:t>0.3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）地表空气湿度</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0.04%RH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精度误差：</w:t>
                  </w:r>
                  <w:r>
                    <w:rPr>
                      <w:rFonts w:ascii="仿宋_GB2312" w:hAnsi="仿宋_GB2312" w:cs="仿宋_GB2312" w:eastAsia="仿宋_GB2312"/>
                      <w:sz w:val="20"/>
                    </w:rPr>
                    <w:t>≤±</w:t>
                  </w:r>
                  <w:r>
                    <w:rPr>
                      <w:rFonts w:ascii="仿宋_GB2312" w:hAnsi="仿宋_GB2312" w:cs="仿宋_GB2312" w:eastAsia="仿宋_GB2312"/>
                      <w:sz w:val="20"/>
                    </w:rPr>
                    <w:t>2%RH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工作范围：</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100%RH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监测方式：</w:t>
                  </w:r>
                  <w:r>
                    <w:rPr>
                      <w:rFonts w:ascii="仿宋_GB2312" w:hAnsi="仿宋_GB2312" w:cs="仿宋_GB2312" w:eastAsia="仿宋_GB2312"/>
                      <w:sz w:val="20"/>
                    </w:rPr>
                    <w:t>地表凋落物（表层、内层）综合监测直接测量，避免使用代替物间接推演，且测量过程不干扰凋落物样本状态。</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多要素气象传感器监测指标</w:t>
                  </w:r>
                </w:p>
                <w:p>
                  <w:pPr>
                    <w:pStyle w:val="null3"/>
                    <w:jc w:val="both"/>
                  </w:pPr>
                  <w:r>
                    <w:rPr>
                      <w:rFonts w:ascii="仿宋_GB2312" w:hAnsi="仿宋_GB2312" w:cs="仿宋_GB2312" w:eastAsia="仿宋_GB2312"/>
                      <w:sz w:val="20"/>
                    </w:rPr>
                    <w:t>传感器可适应林下环境，减少机械结构，采用一体化高度集成模式，测量可燃物所处环境的气象条件，包括空气温度、空气湿度、光照度、风速、风向、降雨量、大气压因子。</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）空气温度</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空气温度值误差范围：</w:t>
                  </w:r>
                  <w:r>
                    <w:rPr>
                      <w:rFonts w:ascii="仿宋_GB2312" w:hAnsi="仿宋_GB2312" w:cs="仿宋_GB2312" w:eastAsia="仿宋_GB2312"/>
                      <w:sz w:val="20"/>
                    </w:rPr>
                    <w:t>≤±</w:t>
                  </w:r>
                  <w:r>
                    <w:rPr>
                      <w:rFonts w:ascii="仿宋_GB2312" w:hAnsi="仿宋_GB2312" w:cs="仿宋_GB2312" w:eastAsia="仿宋_GB2312"/>
                      <w:sz w:val="20"/>
                    </w:rPr>
                    <w:t>0.3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）空气湿度</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0-100%RH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空气湿度值误差范围：</w:t>
                  </w:r>
                  <w:r>
                    <w:rPr>
                      <w:rFonts w:ascii="仿宋_GB2312" w:hAnsi="仿宋_GB2312" w:cs="仿宋_GB2312" w:eastAsia="仿宋_GB2312"/>
                      <w:sz w:val="20"/>
                    </w:rPr>
                    <w:t>≤±</w:t>
                  </w:r>
                  <w:r>
                    <w:rPr>
                      <w:rFonts w:ascii="仿宋_GB2312" w:hAnsi="仿宋_GB2312" w:cs="仿宋_GB2312" w:eastAsia="仿宋_GB2312"/>
                      <w:sz w:val="20"/>
                    </w:rPr>
                    <w:t>3%RH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）大气压</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300-1100hpa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0.1hpa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大气压值误差范围：</w:t>
                  </w:r>
                  <w:r>
                    <w:rPr>
                      <w:rFonts w:ascii="仿宋_GB2312" w:hAnsi="仿宋_GB2312" w:cs="仿宋_GB2312" w:eastAsia="仿宋_GB2312"/>
                      <w:sz w:val="20"/>
                    </w:rPr>
                    <w:t>≤±</w:t>
                  </w:r>
                  <w:r>
                    <w:rPr>
                      <w:rFonts w:ascii="仿宋_GB2312" w:hAnsi="仿宋_GB2312" w:cs="仿宋_GB2312" w:eastAsia="仿宋_GB2312"/>
                      <w:sz w:val="20"/>
                    </w:rPr>
                    <w:t>0.3hPa</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b/>
                    </w:rPr>
                    <w:t>4</w:t>
                  </w:r>
                  <w:r>
                    <w:rPr>
                      <w:rFonts w:ascii="仿宋_GB2312" w:hAnsi="仿宋_GB2312" w:cs="仿宋_GB2312" w:eastAsia="仿宋_GB2312"/>
                      <w:sz w:val="20"/>
                      <w:b/>
                    </w:rPr>
                    <w:t>）风速</w:t>
                  </w:r>
                </w:p>
                <w:p>
                  <w:pPr>
                    <w:pStyle w:val="null3"/>
                    <w:jc w:val="both"/>
                  </w:pPr>
                  <w:r>
                    <w:rPr>
                      <w:rFonts w:ascii="仿宋_GB2312" w:hAnsi="仿宋_GB2312" w:cs="仿宋_GB2312" w:eastAsia="仿宋_GB2312"/>
                      <w:sz w:val="20"/>
                    </w:rPr>
                    <w:t>测量模式：超声波；</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0-60m/s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0.01m/s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风速值误差范围：</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5</w:t>
                  </w:r>
                  <w:r>
                    <w:rPr>
                      <w:rFonts w:ascii="仿宋_GB2312" w:hAnsi="仿宋_GB2312" w:cs="仿宋_GB2312" w:eastAsia="仿宋_GB2312"/>
                      <w:sz w:val="20"/>
                      <w:b/>
                    </w:rPr>
                    <w:t>）风向</w:t>
                  </w:r>
                </w:p>
                <w:p>
                  <w:pPr>
                    <w:pStyle w:val="null3"/>
                    <w:jc w:val="both"/>
                  </w:pPr>
                  <w:r>
                    <w:rPr>
                      <w:rFonts w:ascii="仿宋_GB2312" w:hAnsi="仿宋_GB2312" w:cs="仿宋_GB2312" w:eastAsia="仿宋_GB2312"/>
                      <w:sz w:val="20"/>
                    </w:rPr>
                    <w:t>测量模式：超声波；</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0-360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风向值误差范围：</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°（风速＜</w:t>
                  </w:r>
                  <w:r>
                    <w:rPr>
                      <w:rFonts w:ascii="仿宋_GB2312" w:hAnsi="仿宋_GB2312" w:cs="仿宋_GB2312" w:eastAsia="仿宋_GB2312"/>
                      <w:sz w:val="20"/>
                    </w:rPr>
                    <w:t>10m/s</w:t>
                  </w:r>
                  <w:r>
                    <w:rPr>
                      <w:rFonts w:ascii="仿宋_GB2312" w:hAnsi="仿宋_GB2312" w:cs="仿宋_GB2312" w:eastAsia="仿宋_GB2312"/>
                      <w:sz w:val="20"/>
                    </w:rPr>
                    <w:t>时）；</w:t>
                  </w:r>
                </w:p>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）降雨量</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0-200mm/h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测量模式：震动；</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0.2mm</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降雨量值误差范围：</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7</w:t>
                  </w:r>
                  <w:r>
                    <w:rPr>
                      <w:rFonts w:ascii="仿宋_GB2312" w:hAnsi="仿宋_GB2312" w:cs="仿宋_GB2312" w:eastAsia="仿宋_GB2312"/>
                      <w:sz w:val="20"/>
                      <w:b/>
                    </w:rPr>
                    <w:t>）光照度</w:t>
                  </w:r>
                </w:p>
                <w:p>
                  <w:pPr>
                    <w:pStyle w:val="null3"/>
                    <w:jc w:val="both"/>
                  </w:pPr>
                  <w:r>
                    <w:rPr>
                      <w:rFonts w:ascii="仿宋_GB2312" w:hAnsi="仿宋_GB2312" w:cs="仿宋_GB2312" w:eastAsia="仿宋_GB2312"/>
                      <w:sz w:val="20"/>
                    </w:rPr>
                    <w:t>测量范围：</w:t>
                  </w:r>
                  <w:r>
                    <w:rPr>
                      <w:rFonts w:ascii="仿宋_GB2312" w:hAnsi="仿宋_GB2312" w:cs="仿宋_GB2312" w:eastAsia="仿宋_GB2312"/>
                      <w:sz w:val="20"/>
                    </w:rPr>
                    <w:t>0-200KLUX</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10LUX</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光照度值误差范围：</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监测方式：</w:t>
                  </w:r>
                  <w:r>
                    <w:rPr>
                      <w:rFonts w:ascii="仿宋_GB2312" w:hAnsi="仿宋_GB2312" w:cs="仿宋_GB2312" w:eastAsia="仿宋_GB2312"/>
                      <w:sz w:val="20"/>
                    </w:rPr>
                    <w:t>具备对监测因子的直接测量能力。</w:t>
                  </w:r>
                  <w:r>
                    <w:br/>
                  </w:r>
                  <w:r>
                    <w:rPr>
                      <w:rFonts w:ascii="仿宋_GB2312" w:hAnsi="仿宋_GB2312" w:cs="仿宋_GB2312" w:eastAsia="仿宋_GB2312"/>
                      <w:sz w:val="20"/>
                    </w:rPr>
                    <w:t>2、</w:t>
                  </w:r>
                  <w:r>
                    <w:rPr>
                      <w:rFonts w:ascii="仿宋_GB2312" w:hAnsi="仿宋_GB2312" w:cs="仿宋_GB2312" w:eastAsia="仿宋_GB2312"/>
                      <w:sz w:val="20"/>
                      <w:b/>
                    </w:rPr>
                    <w:t>通信指标</w:t>
                  </w:r>
                  <w:r>
                    <w:br/>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支持</w:t>
                  </w:r>
                  <w:r>
                    <w:rPr>
                      <w:rFonts w:ascii="仿宋_GB2312" w:hAnsi="仿宋_GB2312" w:cs="仿宋_GB2312" w:eastAsia="仿宋_GB2312"/>
                      <w:sz w:val="20"/>
                    </w:rPr>
                    <w:t>GPRS/3G/4G 公网与北斗 3 号短报文数据传输；</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北斗边缘计算盒支持双核</w:t>
                  </w:r>
                  <w:r>
                    <w:rPr>
                      <w:rFonts w:ascii="仿宋_GB2312" w:hAnsi="仿宋_GB2312" w:cs="仿宋_GB2312" w:eastAsia="仿宋_GB2312"/>
                      <w:sz w:val="20"/>
                    </w:rPr>
                    <w:t>cpu,内存≥ 8G，具备单图计算分析能力。</w:t>
                  </w:r>
                  <w:r>
                    <w:br/>
                  </w:r>
                  <w:r>
                    <w:rPr>
                      <w:rFonts w:ascii="仿宋_GB2312" w:hAnsi="仿宋_GB2312" w:cs="仿宋_GB2312" w:eastAsia="仿宋_GB2312"/>
                      <w:sz w:val="20"/>
                    </w:rPr>
                    <w:t>3、</w:t>
                  </w:r>
                  <w:r>
                    <w:rPr>
                      <w:rFonts w:ascii="仿宋_GB2312" w:hAnsi="仿宋_GB2312" w:cs="仿宋_GB2312" w:eastAsia="仿宋_GB2312"/>
                      <w:sz w:val="20"/>
                      <w:b/>
                    </w:rPr>
                    <w:t>可靠性</w:t>
                  </w:r>
                  <w:r>
                    <w:br/>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一体化集成结构；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具备防锈、防雷功能，</w:t>
                  </w:r>
                  <w:r>
                    <w:rPr>
                      <w:rFonts w:ascii="仿宋_GB2312" w:hAnsi="仿宋_GB2312" w:cs="仿宋_GB2312" w:eastAsia="仿宋_GB2312"/>
                      <w:sz w:val="20"/>
                    </w:rPr>
                    <w:t>IP65</w:t>
                  </w:r>
                  <w:r>
                    <w:rPr>
                      <w:rFonts w:ascii="仿宋_GB2312" w:hAnsi="仿宋_GB2312" w:cs="仿宋_GB2312" w:eastAsia="仿宋_GB2312"/>
                      <w:sz w:val="20"/>
                    </w:rPr>
                    <w:t>及以上防护能力；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具备高低温（</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-80</w:t>
                  </w:r>
                  <w:r>
                    <w:rPr>
                      <w:rFonts w:ascii="仿宋_GB2312" w:hAnsi="仿宋_GB2312" w:cs="仿宋_GB2312" w:eastAsia="仿宋_GB2312"/>
                      <w:sz w:val="20"/>
                    </w:rPr>
                    <w:t>℃）、湿</w:t>
                  </w:r>
                  <w:r>
                    <w:rPr>
                      <w:rFonts w:ascii="仿宋_GB2312" w:hAnsi="仿宋_GB2312" w:cs="仿宋_GB2312" w:eastAsia="仿宋_GB2312"/>
                      <w:sz w:val="20"/>
                    </w:rPr>
                    <w:t>度</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100</w:t>
                  </w:r>
                  <w:r>
                    <w:rPr>
                      <w:rFonts w:ascii="仿宋_GB2312" w:hAnsi="仿宋_GB2312" w:cs="仿宋_GB2312" w:eastAsia="仿宋_GB2312"/>
                      <w:sz w:val="20"/>
                    </w:rPr>
                    <w:t>%RH</w:t>
                  </w:r>
                  <w:r>
                    <w:rPr>
                      <w:rFonts w:ascii="仿宋_GB2312" w:hAnsi="仿宋_GB2312" w:cs="仿宋_GB2312" w:eastAsia="仿宋_GB2312"/>
                      <w:sz w:val="20"/>
                    </w:rPr>
                    <w:t>）、</w:t>
                  </w:r>
                  <w:r>
                    <w:rPr>
                      <w:rFonts w:ascii="仿宋_GB2312" w:hAnsi="仿宋_GB2312" w:cs="仿宋_GB2312" w:eastAsia="仿宋_GB2312"/>
                      <w:sz w:val="20"/>
                    </w:rPr>
                    <w:t>高海拔（</w:t>
                  </w:r>
                  <w:r>
                    <w:rPr>
                      <w:rFonts w:ascii="仿宋_GB2312" w:hAnsi="仿宋_GB2312" w:cs="仿宋_GB2312" w:eastAsia="仿宋_GB2312"/>
                      <w:sz w:val="20"/>
                    </w:rPr>
                    <w:t>≥</w:t>
                  </w:r>
                  <w:r>
                    <w:rPr>
                      <w:rFonts w:ascii="仿宋_GB2312" w:hAnsi="仿宋_GB2312" w:cs="仿宋_GB2312" w:eastAsia="仿宋_GB2312"/>
                      <w:sz w:val="20"/>
                    </w:rPr>
                    <w:t>3500m</w:t>
                  </w:r>
                  <w:r>
                    <w:rPr>
                      <w:rFonts w:ascii="仿宋_GB2312" w:hAnsi="仿宋_GB2312" w:cs="仿宋_GB2312" w:eastAsia="仿宋_GB2312"/>
                      <w:sz w:val="20"/>
                    </w:rPr>
                    <w:t>）、</w:t>
                  </w:r>
                  <w:r>
                    <w:rPr>
                      <w:rFonts w:ascii="仿宋_GB2312" w:hAnsi="仿宋_GB2312" w:cs="仿宋_GB2312" w:eastAsia="仿宋_GB2312"/>
                      <w:sz w:val="20"/>
                    </w:rPr>
                    <w:t>高辐射环境条件下的可靠运行能力；</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设备野外平均无故障时间不小于</w:t>
                  </w:r>
                  <w:r>
                    <w:rPr>
                      <w:rFonts w:ascii="仿宋_GB2312" w:hAnsi="仿宋_GB2312" w:cs="仿宋_GB2312" w:eastAsia="仿宋_GB2312"/>
                      <w:sz w:val="20"/>
                    </w:rPr>
                    <w:t>10000</w:t>
                  </w:r>
                  <w:r>
                    <w:rPr>
                      <w:rFonts w:ascii="仿宋_GB2312" w:hAnsi="仿宋_GB2312" w:cs="仿宋_GB2312" w:eastAsia="仿宋_GB2312"/>
                      <w:sz w:val="20"/>
                    </w:rPr>
                    <w:t>小时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支持太阳能可靠供电；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具备低电压保护功能；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支持防盗告警：倾斜分辨率：</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°；报警类型：支持倾斜、挖掘、破坏、移动状态告警监测。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远程定位：支持北斗定位。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远程标定：支持对凋落物含水率等传感器设备的远程标定。</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远程管理：支持远程设备自检分析、指令下发、参数设置及管理</w:t>
                  </w:r>
                  <w:r>
                    <w:rPr>
                      <w:rFonts w:ascii="仿宋_GB2312" w:hAnsi="仿宋_GB2312" w:cs="仿宋_GB2312" w:eastAsia="仿宋_GB2312"/>
                      <w:sz w:val="20"/>
                    </w:rPr>
                    <w:t>。</w:t>
                  </w:r>
                  <w:r>
                    <w:br/>
                  </w:r>
                  <w:r>
                    <w:rPr>
                      <w:rFonts w:ascii="仿宋_GB2312" w:hAnsi="仿宋_GB2312" w:cs="仿宋_GB2312" w:eastAsia="仿宋_GB2312"/>
                      <w:sz w:val="20"/>
                    </w:rPr>
                    <w:t>4、</w:t>
                  </w:r>
                  <w:r>
                    <w:rPr>
                      <w:rFonts w:ascii="仿宋_GB2312" w:hAnsi="仿宋_GB2312" w:cs="仿宋_GB2312" w:eastAsia="仿宋_GB2312"/>
                      <w:sz w:val="20"/>
                      <w:b/>
                    </w:rPr>
                    <w:t>采集频率</w:t>
                  </w:r>
                  <w:r>
                    <w:br/>
                  </w:r>
                  <w:r>
                    <w:rPr>
                      <w:rFonts w:ascii="仿宋_GB2312" w:hAnsi="仿宋_GB2312" w:cs="仿宋_GB2312" w:eastAsia="仿宋_GB2312"/>
                      <w:sz w:val="20"/>
                    </w:rPr>
                    <w:t>支持</w:t>
                  </w:r>
                  <w:r>
                    <w:rPr>
                      <w:rFonts w:ascii="仿宋_GB2312" w:hAnsi="仿宋_GB2312" w:cs="仿宋_GB2312" w:eastAsia="仿宋_GB2312"/>
                      <w:sz w:val="20"/>
                    </w:rPr>
                    <w:t>5 分钟、30 分钟、1 小时等多种采样频率，分钟级可调自动采集上报</w:t>
                  </w:r>
                  <w:r>
                    <w:rPr>
                      <w:rFonts w:ascii="仿宋_GB2312" w:hAnsi="仿宋_GB2312" w:cs="仿宋_GB2312" w:eastAsia="仿宋_GB2312"/>
                      <w:sz w:val="20"/>
                    </w:rPr>
                    <w:t>。</w:t>
                  </w:r>
                  <w:r>
                    <w:br/>
                  </w:r>
                  <w:r>
                    <w:rPr>
                      <w:rFonts w:ascii="仿宋_GB2312" w:hAnsi="仿宋_GB2312" w:cs="仿宋_GB2312" w:eastAsia="仿宋_GB2312"/>
                      <w:sz w:val="20"/>
                      <w:b/>
                    </w:rPr>
                    <w:t>5、</w:t>
                  </w:r>
                  <w:r>
                    <w:rPr>
                      <w:rFonts w:ascii="仿宋_GB2312" w:hAnsi="仿宋_GB2312" w:cs="仿宋_GB2312" w:eastAsia="仿宋_GB2312"/>
                      <w:sz w:val="20"/>
                      <w:b/>
                    </w:rPr>
                    <w:t>数据产品指标</w:t>
                  </w:r>
                  <w:r>
                    <w:rPr>
                      <w:rFonts w:ascii="仿宋_GB2312" w:hAnsi="仿宋_GB2312" w:cs="仿宋_GB2312" w:eastAsia="仿宋_GB2312"/>
                      <w:sz w:val="20"/>
                      <w:b/>
                    </w:rPr>
                    <w:t xml:space="preserve">  </w:t>
                  </w:r>
                  <w:r>
                    <w:br/>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数据产品报告生成时间不大于</w:t>
                  </w:r>
                  <w:r>
                    <w:rPr>
                      <w:rFonts w:ascii="仿宋_GB2312" w:hAnsi="仿宋_GB2312" w:cs="仿宋_GB2312" w:eastAsia="仿宋_GB2312"/>
                      <w:sz w:val="20"/>
                    </w:rPr>
                    <w:t xml:space="preserve">5 秒，对于特殊情况且确实需要较长时间处理的需给出进度提示； </w:t>
                  </w:r>
                  <w:r>
                    <w:br/>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支持公里级精细化网格预警，格点精度不低于</w:t>
                  </w:r>
                  <w:r>
                    <w:rPr>
                      <w:rFonts w:ascii="仿宋_GB2312" w:hAnsi="仿宋_GB2312" w:cs="仿宋_GB2312" w:eastAsia="仿宋_GB2312"/>
                      <w:sz w:val="20"/>
                    </w:rPr>
                    <w:t>30 米。</w:t>
                  </w:r>
                  <w:r>
                    <w:br/>
                  </w:r>
                  <w:r>
                    <w:rPr>
                      <w:rFonts w:ascii="仿宋_GB2312" w:hAnsi="仿宋_GB2312" w:cs="仿宋_GB2312" w:eastAsia="仿宋_GB2312"/>
                      <w:sz w:val="20"/>
                      <w:b/>
                    </w:rPr>
                    <w:t>6、</w:t>
                  </w:r>
                  <w:r>
                    <w:rPr>
                      <w:rFonts w:ascii="仿宋_GB2312" w:hAnsi="仿宋_GB2312" w:cs="仿宋_GB2312" w:eastAsia="仿宋_GB2312"/>
                      <w:sz w:val="20"/>
                      <w:b/>
                    </w:rPr>
                    <w:t>安全指标</w:t>
                  </w:r>
                  <w:r>
                    <w:br/>
                  </w:r>
                  <w:r>
                    <w:rPr>
                      <w:rFonts w:ascii="仿宋_GB2312" w:hAnsi="仿宋_GB2312" w:cs="仿宋_GB2312" w:eastAsia="仿宋_GB2312"/>
                      <w:sz w:val="20"/>
                    </w:rPr>
                    <w:t>感知数据上报需加密，加密算法不低于</w:t>
                  </w:r>
                  <w:r>
                    <w:rPr>
                      <w:rFonts w:ascii="仿宋_GB2312" w:hAnsi="仿宋_GB2312" w:cs="仿宋_GB2312" w:eastAsia="仿宋_GB2312"/>
                      <w:sz w:val="20"/>
                    </w:rPr>
                    <w:t>128位；归集交互过程中，需保障数据对接过程中的物理与环境安全、网络和设备安全、应用和数据安全，防止数据泄露和被恶意篡改等。</w:t>
                  </w:r>
                  <w:r>
                    <w:br/>
                  </w:r>
                  <w:r>
                    <w:rPr>
                      <w:rFonts w:ascii="仿宋_GB2312" w:hAnsi="仿宋_GB2312" w:cs="仿宋_GB2312" w:eastAsia="仿宋_GB2312"/>
                      <w:sz w:val="20"/>
                      <w:b/>
                    </w:rPr>
                    <w:t>7、</w:t>
                  </w:r>
                  <w:r>
                    <w:rPr>
                      <w:rFonts w:ascii="仿宋_GB2312" w:hAnsi="仿宋_GB2312" w:cs="仿宋_GB2312" w:eastAsia="仿宋_GB2312"/>
                      <w:sz w:val="20"/>
                      <w:b/>
                    </w:rPr>
                    <w:t>存储指标</w:t>
                  </w:r>
                  <w:r>
                    <w:br/>
                  </w:r>
                  <w:r>
                    <w:rPr>
                      <w:rFonts w:ascii="仿宋_GB2312" w:hAnsi="仿宋_GB2312" w:cs="仿宋_GB2312" w:eastAsia="仿宋_GB2312"/>
                      <w:sz w:val="20"/>
                    </w:rPr>
                    <w:t>监测预警数据产品定制初始运行存储资源需求为</w:t>
                  </w:r>
                  <w:r>
                    <w:rPr>
                      <w:rFonts w:ascii="仿宋_GB2312" w:hAnsi="仿宋_GB2312" w:cs="仿宋_GB2312" w:eastAsia="仿宋_GB2312"/>
                      <w:sz w:val="20"/>
                    </w:rPr>
                    <w:t>300G；每年单站感知数据新增10G、成果数据新增 30T，数据存储</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6 个月。</w:t>
                  </w:r>
                </w:p>
                <w:p>
                  <w:pPr>
                    <w:pStyle w:val="null3"/>
                    <w:jc w:val="both"/>
                  </w:pPr>
                  <w:r>
                    <w:rPr>
                      <w:rFonts w:ascii="仿宋_GB2312" w:hAnsi="仿宋_GB2312" w:cs="仿宋_GB2312" w:eastAsia="仿宋_GB2312"/>
                      <w:sz w:val="20"/>
                      <w:b/>
                    </w:rPr>
                    <w:t>8、选址要求指标</w:t>
                  </w:r>
                </w:p>
                <w:p>
                  <w:pPr>
                    <w:pStyle w:val="null3"/>
                    <w:jc w:val="both"/>
                  </w:pPr>
                  <w:r>
                    <w:rPr>
                      <w:rFonts w:ascii="仿宋_GB2312" w:hAnsi="仿宋_GB2312" w:cs="仿宋_GB2312" w:eastAsia="仿宋_GB2312"/>
                      <w:sz w:val="20"/>
                    </w:rPr>
                    <w:t>对采购人已选站点布设进行再勘察，确保选择在阳坡、林缘或林内地区，保证高风险点不漏报。</w:t>
                  </w:r>
                </w:p>
                <w:p>
                  <w:pPr>
                    <w:pStyle w:val="null3"/>
                    <w:jc w:val="both"/>
                  </w:pP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站点成果指标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设备配套</w:t>
                  </w:r>
                  <w:r>
                    <w:rPr>
                      <w:rFonts w:ascii="仿宋_GB2312" w:hAnsi="仿宋_GB2312" w:cs="仿宋_GB2312" w:eastAsia="仿宋_GB2312"/>
                      <w:sz w:val="20"/>
                    </w:rPr>
                    <w:t>AI</w:t>
                  </w:r>
                  <w:r>
                    <w:rPr>
                      <w:rFonts w:ascii="仿宋_GB2312" w:hAnsi="仿宋_GB2312" w:cs="仿宋_GB2312" w:eastAsia="仿宋_GB2312"/>
                      <w:sz w:val="20"/>
                    </w:rPr>
                    <w:t>模型，支持火险预警、凋落物含水率网格化成果输出，支持公里级精细化网格预警，格点精度不低于</w:t>
                  </w:r>
                  <w:r>
                    <w:rPr>
                      <w:rFonts w:ascii="仿宋_GB2312" w:hAnsi="仿宋_GB2312" w:cs="仿宋_GB2312" w:eastAsia="仿宋_GB2312"/>
                      <w:sz w:val="20"/>
                    </w:rPr>
                    <w:t>30</w:t>
                  </w:r>
                  <w:r>
                    <w:rPr>
                      <w:rFonts w:ascii="仿宋_GB2312" w:hAnsi="仿宋_GB2312" w:cs="仿宋_GB2312" w:eastAsia="仿宋_GB2312"/>
                      <w:sz w:val="20"/>
                    </w:rPr>
                    <w:t>米</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）数据通过开放接口可传输至省级森林草原火险监测预警定制数据产品或省级数据汇聚平台。</w:t>
                  </w:r>
                </w:p>
                <w:p>
                  <w:pPr>
                    <w:pStyle w:val="null3"/>
                    <w:jc w:val="both"/>
                  </w:pPr>
                  <w:r>
                    <w:rPr>
                      <w:rFonts w:ascii="仿宋_GB2312" w:hAnsi="仿宋_GB2312" w:cs="仿宋_GB2312" w:eastAsia="仿宋_GB2312"/>
                      <w:sz w:val="20"/>
                      <w:b/>
                    </w:rPr>
                    <w:t>10</w:t>
                  </w:r>
                  <w:r>
                    <w:rPr>
                      <w:rFonts w:ascii="仿宋_GB2312" w:hAnsi="仿宋_GB2312" w:cs="仿宋_GB2312" w:eastAsia="仿宋_GB2312"/>
                      <w:sz w:val="20"/>
                      <w:b/>
                    </w:rPr>
                    <w:t>、</w:t>
                  </w:r>
                  <w:r>
                    <w:rPr>
                      <w:rFonts w:ascii="仿宋_GB2312" w:hAnsi="仿宋_GB2312" w:cs="仿宋_GB2312" w:eastAsia="仿宋_GB2312"/>
                      <w:sz w:val="20"/>
                      <w:b/>
                    </w:rPr>
                    <w:t>相关配件</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配套太阳能板：</w:t>
                  </w:r>
                  <w:r>
                    <w:rPr>
                      <w:rFonts w:ascii="仿宋_GB2312" w:hAnsi="仿宋_GB2312" w:cs="仿宋_GB2312" w:eastAsia="仿宋_GB2312"/>
                      <w:sz w:val="20"/>
                    </w:rPr>
                    <w:t>含北斗配套太阳能版；根据设备所需功率进行太阳能板配置；太阳能板功率不低于</w:t>
                  </w:r>
                  <w:r>
                    <w:rPr>
                      <w:rFonts w:ascii="仿宋_GB2312" w:hAnsi="仿宋_GB2312" w:cs="仿宋_GB2312" w:eastAsia="仿宋_GB2312"/>
                      <w:sz w:val="20"/>
                    </w:rPr>
                    <w:t>50w</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管理单元：</w:t>
                  </w:r>
                  <w:r>
                    <w:rPr>
                      <w:rFonts w:ascii="仿宋_GB2312" w:hAnsi="仿宋_GB2312" w:cs="仿宋_GB2312" w:eastAsia="仿宋_GB2312"/>
                      <w:sz w:val="20"/>
                    </w:rPr>
                    <w:t>太阳能输入充电管理，防雷防护；</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配套电池：</w:t>
                  </w:r>
                  <w:r>
                    <w:rPr>
                      <w:rFonts w:ascii="仿宋_GB2312" w:hAnsi="仿宋_GB2312" w:cs="仿宋_GB2312" w:eastAsia="仿宋_GB2312"/>
                      <w:sz w:val="20"/>
                    </w:rPr>
                    <w:t>可保证连续</w:t>
                  </w:r>
                  <w:r>
                    <w:rPr>
                      <w:rFonts w:ascii="仿宋_GB2312" w:hAnsi="仿宋_GB2312" w:cs="仿宋_GB2312" w:eastAsia="仿宋_GB2312"/>
                      <w:sz w:val="20"/>
                    </w:rPr>
                    <w:t>1</w:t>
                  </w:r>
                  <w:r>
                    <w:rPr>
                      <w:rFonts w:ascii="仿宋_GB2312" w:hAnsi="仿宋_GB2312" w:cs="仿宋_GB2312" w:eastAsia="仿宋_GB2312"/>
                      <w:sz w:val="20"/>
                    </w:rPr>
                    <w:t>个月阴雨天气环境下供电，循环次数</w:t>
                  </w:r>
                  <w:r>
                    <w:rPr>
                      <w:rFonts w:ascii="仿宋_GB2312" w:hAnsi="仿宋_GB2312" w:cs="仿宋_GB2312" w:eastAsia="仿宋_GB2312"/>
                      <w:sz w:val="20"/>
                    </w:rPr>
                    <w:t>&gt;1200</w:t>
                  </w:r>
                  <w:r>
                    <w:rPr>
                      <w:rFonts w:ascii="仿宋_GB2312" w:hAnsi="仿宋_GB2312" w:cs="仿宋_GB2312" w:eastAsia="仿宋_GB2312"/>
                      <w:sz w:val="20"/>
                    </w:rPr>
                    <w:t>次；</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立杆及连接线：</w:t>
                  </w:r>
                  <w:r>
                    <w:rPr>
                      <w:rFonts w:ascii="仿宋_GB2312" w:hAnsi="仿宋_GB2312" w:cs="仿宋_GB2312" w:eastAsia="仿宋_GB2312"/>
                      <w:sz w:val="20"/>
                    </w:rPr>
                    <w:t>配备标准连接线、防腐防锈立杆。</w:t>
                  </w:r>
                </w:p>
                <w:p>
                  <w:pPr>
                    <w:pStyle w:val="null3"/>
                    <w:jc w:val="both"/>
                  </w:pPr>
                  <w:r>
                    <w:rPr>
                      <w:rFonts w:ascii="仿宋_GB2312" w:hAnsi="仿宋_GB2312" w:cs="仿宋_GB2312" w:eastAsia="仿宋_GB2312"/>
                      <w:sz w:val="20"/>
                      <w:b/>
                    </w:rPr>
                    <w:t>11</w:t>
                  </w:r>
                  <w:r>
                    <w:rPr>
                      <w:rFonts w:ascii="仿宋_GB2312" w:hAnsi="仿宋_GB2312" w:cs="仿宋_GB2312" w:eastAsia="仿宋_GB2312"/>
                      <w:sz w:val="20"/>
                    </w:rPr>
                    <w:t>、</w:t>
                  </w:r>
                  <w:r>
                    <w:rPr>
                      <w:rFonts w:ascii="仿宋_GB2312" w:hAnsi="仿宋_GB2312" w:cs="仿宋_GB2312" w:eastAsia="仿宋_GB2312"/>
                      <w:sz w:val="20"/>
                      <w:b/>
                    </w:rPr>
                    <w:t>辅材要求</w:t>
                  </w:r>
                  <w:r>
                    <w:rPr>
                      <w:rFonts w:ascii="仿宋_GB2312" w:hAnsi="仿宋_GB2312" w:cs="仿宋_GB2312" w:eastAsia="仿宋_GB2312"/>
                      <w:sz w:val="20"/>
                    </w:rPr>
                    <w:t>：需包括配套安装辅材。</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rPr>
                    <w:t>、</w:t>
                  </w:r>
                  <w:r>
                    <w:rPr>
                      <w:rFonts w:ascii="仿宋_GB2312" w:hAnsi="仿宋_GB2312" w:cs="仿宋_GB2312" w:eastAsia="仿宋_GB2312"/>
                      <w:sz w:val="20"/>
                      <w:b/>
                    </w:rPr>
                    <w:t>数据对接：</w:t>
                  </w:r>
                  <w:r>
                    <w:rPr>
                      <w:rFonts w:ascii="仿宋_GB2312" w:hAnsi="仿宋_GB2312" w:cs="仿宋_GB2312" w:eastAsia="仿宋_GB2312"/>
                      <w:sz w:val="20"/>
                    </w:rPr>
                    <w:t>提供开放的</w:t>
                  </w:r>
                  <w:r>
                    <w:rPr>
                      <w:rFonts w:ascii="仿宋_GB2312" w:hAnsi="仿宋_GB2312" w:cs="仿宋_GB2312" w:eastAsia="仿宋_GB2312"/>
                      <w:sz w:val="20"/>
                    </w:rPr>
                    <w:t>SDK</w:t>
                  </w:r>
                  <w:r>
                    <w:rPr>
                      <w:rFonts w:ascii="仿宋_GB2312" w:hAnsi="仿宋_GB2312" w:cs="仿宋_GB2312" w:eastAsia="仿宋_GB2312"/>
                      <w:sz w:val="20"/>
                    </w:rPr>
                    <w:t>或</w:t>
                  </w:r>
                  <w:r>
                    <w:rPr>
                      <w:rFonts w:ascii="仿宋_GB2312" w:hAnsi="仿宋_GB2312" w:cs="仿宋_GB2312" w:eastAsia="仿宋_GB2312"/>
                      <w:sz w:val="20"/>
                    </w:rPr>
                    <w:t>API</w:t>
                  </w:r>
                  <w:r>
                    <w:rPr>
                      <w:rFonts w:ascii="仿宋_GB2312" w:hAnsi="仿宋_GB2312" w:cs="仿宋_GB2312" w:eastAsia="仿宋_GB2312"/>
                      <w:sz w:val="20"/>
                    </w:rPr>
                    <w:t>接口，质保期内配合接入相关数据。</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ind w:left="570"/>
              <w:jc w:val="both"/>
              <w:outlineLvl w:val="2"/>
            </w:pPr>
            <w:r>
              <w:rPr>
                <w:rFonts w:ascii="仿宋_GB2312" w:hAnsi="仿宋_GB2312" w:cs="仿宋_GB2312" w:eastAsia="仿宋_GB2312"/>
                <w:sz w:val="20"/>
                <w:b/>
                <w:color w:val="000000"/>
              </w:rPr>
              <w:t>2、系统集成要求</w:t>
            </w:r>
          </w:p>
          <w:tbl>
            <w:tblPr>
              <w:tblInd w:type="dxa" w:w="120"/>
              <w:tblBorders>
                <w:top w:val="none" w:color="000000" w:sz="4"/>
                <w:left w:val="none" w:color="000000" w:sz="4"/>
                <w:bottom w:val="none" w:color="000000" w:sz="4"/>
                <w:right w:val="none" w:color="000000" w:sz="4"/>
                <w:insideH w:val="none"/>
                <w:insideV w:val="none"/>
              </w:tblBorders>
            </w:tblPr>
            <w:tblGrid>
              <w:gridCol w:w="421"/>
              <w:gridCol w:w="2132"/>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要求名称</w:t>
                  </w:r>
                </w:p>
              </w:tc>
              <w:tc>
                <w:tcPr>
                  <w:tcW w:type="dxa" w:w="2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要求内容</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森林草原火险综合监测站</w:t>
                  </w:r>
                </w:p>
              </w:tc>
              <w:tc>
                <w:tcPr>
                  <w:tcW w:type="dxa" w:w="2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将森林草原防火重点区域建设的森林草原火险综合监测站数据、接入陕西省应急管理综合应用平台、陕西省自然灾害综合预警系统等，实现全省范围森林草原火险因子的全天候立体、多维、实时、精准感知。</w:t>
                  </w:r>
                </w:p>
              </w:tc>
            </w:tr>
          </w:tbl>
          <w:p>
            <w:pPr>
              <w:pStyle w:val="null3"/>
              <w:jc w:val="left"/>
            </w:pPr>
            <w:r>
              <w:rPr>
                <w:rFonts w:ascii="仿宋_GB2312" w:hAnsi="仿宋_GB2312" w:cs="仿宋_GB2312" w:eastAsia="仿宋_GB2312"/>
                <w:sz w:val="20"/>
              </w:rPr>
              <w:t>二</w:t>
            </w:r>
            <w:r>
              <w:rPr>
                <w:rFonts w:ascii="仿宋_GB2312" w:hAnsi="仿宋_GB2312" w:cs="仿宋_GB2312" w:eastAsia="仿宋_GB2312"/>
                <w:sz w:val="20"/>
                <w:b/>
              </w:rPr>
              <w:t>、</w:t>
            </w:r>
            <w:r>
              <w:rPr>
                <w:rFonts w:ascii="仿宋_GB2312" w:hAnsi="仿宋_GB2312" w:cs="仿宋_GB2312" w:eastAsia="仿宋_GB2312"/>
                <w:sz w:val="20"/>
                <w:b/>
              </w:rPr>
              <w:t>服务响应要求</w:t>
            </w:r>
          </w:p>
          <w:p>
            <w:pPr>
              <w:pStyle w:val="null3"/>
              <w:jc w:val="left"/>
            </w:pPr>
            <w:r>
              <w:rPr>
                <w:rFonts w:ascii="仿宋_GB2312" w:hAnsi="仿宋_GB2312" w:cs="仿宋_GB2312" w:eastAsia="仿宋_GB2312"/>
                <w:sz w:val="20"/>
              </w:rPr>
              <w:t>(1)在服务期内，投标人应提供灵活、多样的通信手段（包括但不限于场地、设备及人员、专用服务电话），提供 7 * 24 小时的响应服务。为本项目产品部署地区提供7 * 24小时3年运维服务，此项服务包含在投标总价中，不单独进行报价。</w:t>
            </w:r>
          </w:p>
          <w:p>
            <w:pPr>
              <w:pStyle w:val="null3"/>
              <w:jc w:val="left"/>
            </w:pPr>
            <w:r>
              <w:rPr>
                <w:rFonts w:ascii="仿宋_GB2312" w:hAnsi="仿宋_GB2312" w:cs="仿宋_GB2312" w:eastAsia="仿宋_GB2312"/>
                <w:sz w:val="20"/>
              </w:rPr>
              <w:t>(2)本项目服务期内，提供的设备或系统出现故障时的服务时限要求：</w:t>
            </w:r>
          </w:p>
          <w:p>
            <w:pPr>
              <w:pStyle w:val="null3"/>
              <w:jc w:val="left"/>
            </w:pPr>
            <w:r>
              <w:rPr>
                <w:rFonts w:ascii="仿宋_GB2312" w:hAnsi="仿宋_GB2312" w:cs="仿宋_GB2312" w:eastAsia="仿宋_GB2312"/>
                <w:sz w:val="20"/>
              </w:rPr>
              <w:t>一般故障：设备故障</w:t>
            </w:r>
            <w:r>
              <w:rPr>
                <w:rFonts w:ascii="仿宋_GB2312" w:hAnsi="仿宋_GB2312" w:cs="仿宋_GB2312" w:eastAsia="仿宋_GB2312"/>
                <w:sz w:val="20"/>
              </w:rPr>
              <w:t>1小时内排除；系统故障1小时内解决。</w:t>
            </w:r>
          </w:p>
          <w:p>
            <w:pPr>
              <w:pStyle w:val="null3"/>
              <w:jc w:val="left"/>
            </w:pPr>
            <w:r>
              <w:rPr>
                <w:rFonts w:ascii="仿宋_GB2312" w:hAnsi="仿宋_GB2312" w:cs="仿宋_GB2312" w:eastAsia="仿宋_GB2312"/>
                <w:sz w:val="20"/>
              </w:rPr>
              <w:t>重大故障：出现重大故障时，及时启动备用解决方案，</w:t>
            </w:r>
            <w:r>
              <w:rPr>
                <w:rFonts w:ascii="仿宋_GB2312" w:hAnsi="仿宋_GB2312" w:cs="仿宋_GB2312" w:eastAsia="仿宋_GB2312"/>
                <w:sz w:val="20"/>
              </w:rPr>
              <w:t>4 小时内恢复正常服务，最大不超过 12 小时解决故障。</w:t>
            </w:r>
          </w:p>
          <w:p>
            <w:pPr>
              <w:pStyle w:val="null3"/>
              <w:jc w:val="left"/>
            </w:pPr>
            <w:r>
              <w:rPr>
                <w:rFonts w:ascii="仿宋_GB2312" w:hAnsi="仿宋_GB2312" w:cs="仿宋_GB2312" w:eastAsia="仿宋_GB2312"/>
                <w:sz w:val="20"/>
              </w:rPr>
              <w:t>关键故障：当关键设备出现故障时，投标人应承诺在</w:t>
            </w:r>
            <w:r>
              <w:rPr>
                <w:rFonts w:ascii="仿宋_GB2312" w:hAnsi="仿宋_GB2312" w:cs="仿宋_GB2312" w:eastAsia="仿宋_GB2312"/>
                <w:sz w:val="20"/>
              </w:rPr>
              <w:t>4小时内恢复正常服务。</w:t>
            </w:r>
          </w:p>
          <w:p>
            <w:pPr>
              <w:pStyle w:val="null3"/>
              <w:jc w:val="left"/>
            </w:pPr>
            <w:r>
              <w:rPr>
                <w:rFonts w:ascii="仿宋_GB2312" w:hAnsi="仿宋_GB2312" w:cs="仿宋_GB2312" w:eastAsia="仿宋_GB2312"/>
                <w:sz w:val="20"/>
              </w:rPr>
              <w:t>(3)本项目需投标人根据</w:t>
            </w:r>
            <w:r>
              <w:rPr>
                <w:rFonts w:ascii="仿宋_GB2312" w:hAnsi="仿宋_GB2312" w:cs="仿宋_GB2312" w:eastAsia="仿宋_GB2312"/>
              </w:rPr>
              <w:t>本项目及行业特性，在设备出现故障后，需具备及时响应和快速解决问题的能力。具体要求如下</w:t>
            </w:r>
            <w:r>
              <w:rPr>
                <w:rFonts w:ascii="仿宋_GB2312" w:hAnsi="仿宋_GB2312" w:cs="仿宋_GB2312" w:eastAsia="仿宋_GB2312"/>
                <w:sz w:val="20"/>
              </w:rPr>
              <w:t>：建立切实可行应急保障机制，在</w:t>
            </w:r>
            <w:r>
              <w:rPr>
                <w:rFonts w:ascii="仿宋_GB2312" w:hAnsi="仿宋_GB2312" w:cs="仿宋_GB2312" w:eastAsia="仿宋_GB2312"/>
                <w:sz w:val="20"/>
              </w:rPr>
              <w:t>0.5小时之内提出实质响应，1小时到达现场，8小时内解决问题。当偏远地区出现故障时，100公里以内的应该小于3小时抵达现场，100公里以上的应该小于5小时，携带备件赶往故障现场，提供现场更换服务。系统出现硬件故障时，投标人要在24小时内携带备件赶往故障现场，提供现场更换服务。完成现场备件更换后，现场工程师将负责取回故障件。</w:t>
            </w:r>
          </w:p>
          <w:p>
            <w:pPr>
              <w:pStyle w:val="null3"/>
              <w:jc w:val="left"/>
            </w:pPr>
            <w:r>
              <w:rPr>
                <w:rFonts w:ascii="仿宋_GB2312" w:hAnsi="仿宋_GB2312" w:cs="仿宋_GB2312" w:eastAsia="仿宋_GB2312"/>
                <w:sz w:val="20"/>
              </w:rPr>
              <w:t>(4)投标人应在项目服务方案中说明服务和技术支持的范围和程度，投标人应提供技术服务流程、技术支持与服务保障体系。根据本次招标文件所制定提出相应的技术支持服务和服务保障方案。</w:t>
            </w:r>
          </w:p>
          <w:p>
            <w:pPr>
              <w:pStyle w:val="null3"/>
              <w:jc w:val="left"/>
            </w:pPr>
            <w:r>
              <w:rPr>
                <w:rFonts w:ascii="仿宋_GB2312" w:hAnsi="仿宋_GB2312" w:cs="仿宋_GB2312" w:eastAsia="仿宋_GB2312"/>
                <w:sz w:val="20"/>
              </w:rPr>
              <w:t>(5)投标人应提供特殊措施，无论由于哪一方产生的问题而使系统发生不正常情况时，在得到采购人通知后，需立即派工程师到场，全力配合其他供应商，使系统尽快恢复正常。</w:t>
            </w:r>
          </w:p>
          <w:p>
            <w:pPr>
              <w:pStyle w:val="null3"/>
              <w:jc w:val="left"/>
            </w:pPr>
            <w:r>
              <w:rPr>
                <w:rFonts w:ascii="仿宋_GB2312" w:hAnsi="仿宋_GB2312" w:cs="仿宋_GB2312" w:eastAsia="仿宋_GB2312"/>
                <w:sz w:val="20"/>
                <w:b/>
              </w:rPr>
              <w:t>三</w:t>
            </w:r>
            <w:r>
              <w:rPr>
                <w:rFonts w:ascii="仿宋_GB2312" w:hAnsi="仿宋_GB2312" w:cs="仿宋_GB2312" w:eastAsia="仿宋_GB2312"/>
                <w:sz w:val="20"/>
                <w:b/>
              </w:rPr>
              <w:t>、项目培训要求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1）对系统管理人员进行培训。系统管理人员不仅要对相关的技术有深入的研究，还要对项目运行涉及的具体业务有充分的理解。加强对系统管理人员这两方面的培训，以保证项目实施符合实际业务需要。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2）对业务人员进行培训。使人员了解系统的建设思想、主要功能和操作规程，能够熟练应用系统辅助开展工作，并能结合实际工作需要提出各种改进意见。</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3）对维护人员进行培训，通过培训使项目运维团队能够充分掌握系统运营技术和维护经验，从技术上和管理上保证信息系统能正常运行。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4）对于所有培训，投标人必须派出具有相应专业资格和实际工作经验的辅导人员进行培训。</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5）投标人须提供详细的培训计划、方案，并负责对培训过程及效果进行跟踪、评估、记录，形成有效项目培训记录资料。</w:t>
            </w:r>
          </w:p>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、方案完善及优化</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1）本次投标报价应充分响应招标文件的所有内容，同时兼顾考虑项目实施过程中由于方案产品优化完善所产生的费用。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2）中标后在投标方案的基础上进行方案产品的优化和完善，中标价为方案产品优化和完善的最高限价，各投标人不得以各种理由增加相应的费用。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3）在优化方案产品中出现设备及材料变化时，应选择性能配置高于投标时的设备配置、材料性能，且调整后的设备配置、材料性能须经采购人同意，但不得做实质性变动。  </w:t>
            </w:r>
          </w:p>
          <w:p>
            <w:pPr>
              <w:pStyle w:val="null3"/>
              <w:jc w:val="left"/>
            </w:pPr>
            <w:r>
              <w:rPr>
                <w:rFonts w:ascii="仿宋_GB2312" w:hAnsi="仿宋_GB2312" w:cs="仿宋_GB2312" w:eastAsia="仿宋_GB2312"/>
                <w:sz w:val="20"/>
                <w:b/>
              </w:rPr>
              <w:t>五</w:t>
            </w:r>
            <w:r>
              <w:rPr>
                <w:rFonts w:ascii="仿宋_GB2312" w:hAnsi="仿宋_GB2312" w:cs="仿宋_GB2312" w:eastAsia="仿宋_GB2312"/>
                <w:sz w:val="20"/>
                <w:b/>
              </w:rPr>
              <w:t>、其他要求</w:t>
            </w:r>
          </w:p>
          <w:p>
            <w:pPr>
              <w:pStyle w:val="null3"/>
              <w:jc w:val="left"/>
            </w:pPr>
            <w:r>
              <w:rPr>
                <w:rFonts w:ascii="仿宋_GB2312" w:hAnsi="仿宋_GB2312" w:cs="仿宋_GB2312" w:eastAsia="仿宋_GB2312"/>
                <w:sz w:val="20"/>
              </w:rPr>
              <w:t>费用包括但不限于以下内容</w:t>
            </w:r>
            <w:r>
              <w:rPr>
                <w:rFonts w:ascii="仿宋_GB2312" w:hAnsi="仿宋_GB2312" w:cs="仿宋_GB2312" w:eastAsia="仿宋_GB2312"/>
                <w:sz w:val="20"/>
              </w:rPr>
              <w:t>：</w:t>
            </w:r>
            <w:r>
              <w:rPr>
                <w:rFonts w:ascii="仿宋_GB2312" w:hAnsi="仿宋_GB2312" w:cs="仿宋_GB2312" w:eastAsia="仿宋_GB2312"/>
                <w:sz w:val="20"/>
              </w:rPr>
              <w:t>设备采购（含安装附件及安装辅材）、税费、运输费（含装卸费）等货到采购人指定地点的所有费用、勘察费、</w:t>
            </w:r>
            <w:r>
              <w:rPr>
                <w:rFonts w:ascii="仿宋_GB2312" w:hAnsi="仿宋_GB2312" w:cs="仿宋_GB2312" w:eastAsia="仿宋_GB2312"/>
                <w:sz w:val="20"/>
              </w:rPr>
              <w:t>5年电费、3年网络租赁费（流量费）、部署费、安装调试费、培训费、集成费等部署实施的所有费用</w:t>
            </w:r>
            <w:r>
              <w:rPr>
                <w:rFonts w:ascii="仿宋_GB2312" w:hAnsi="仿宋_GB2312" w:cs="仿宋_GB2312" w:eastAsia="仿宋_GB2312"/>
                <w:sz w:val="20"/>
              </w:rPr>
              <w:t>。</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交货方式：采购货物由供应商集中交付至采购人指定地点进行验收，验收完成后由供应商负责运送至采购人指定使用地点，不接受采用物流、快递等方式交付货物。</w:t>
            </w:r>
          </w:p>
          <w:p>
            <w:pPr>
              <w:pStyle w:val="null3"/>
              <w:jc w:val="left"/>
            </w:pPr>
            <w:r>
              <w:rPr>
                <w:rFonts w:ascii="仿宋_GB2312" w:hAnsi="仿宋_GB2312" w:cs="仿宋_GB2312" w:eastAsia="仿宋_GB2312"/>
                <w:sz w:val="20"/>
              </w:rPr>
              <w:t>项目进度要求</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12月30日前</w:t>
            </w:r>
            <w:r>
              <w:rPr>
                <w:rFonts w:ascii="仿宋_GB2312" w:hAnsi="仿宋_GB2312" w:cs="仿宋_GB2312" w:eastAsia="仿宋_GB2312"/>
                <w:sz w:val="20"/>
              </w:rPr>
              <w:t>完成项目终验，部署团队人员应具备相应证书和资质，团队人数根据项目进度要求进行合理配置。</w:t>
            </w:r>
          </w:p>
          <w:p>
            <w:pPr>
              <w:pStyle w:val="null3"/>
              <w:jc w:val="both"/>
            </w:pPr>
            <w:r>
              <w:rPr>
                <w:rFonts w:ascii="仿宋_GB2312" w:hAnsi="仿宋_GB2312" w:cs="仿宋_GB2312" w:eastAsia="仿宋_GB2312"/>
                <w:sz w:val="20"/>
              </w:rPr>
              <w:t>采购的设备提供至少</w:t>
            </w:r>
            <w:r>
              <w:rPr>
                <w:rFonts w:ascii="仿宋_GB2312" w:hAnsi="仿宋_GB2312" w:cs="仿宋_GB2312" w:eastAsia="仿宋_GB2312"/>
                <w:sz w:val="20"/>
              </w:rPr>
              <w:t>5年的原厂免费质保、项目3年运维、使用培训，运维期间所有问题，需要提供7*24小时响应解决能力。</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合同签订之日起至2025年12月30日止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陕西省应急管理厅指定地点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本次验收工作由项目实施地应急管理部门分别组织初步验收，由采购人组织最终验收，具体如下： 1、成交供应商交货前应对产品作出全面检查，对验收文件进行整理，并列出清单，作为项目实施地应急管理部门收货验收和使用的技术条件依据，检验的结果应随货物交项目实施地应急管理部门。 2 、项目实施地应急管理部门需在货到现场5个工作日内组织初步验收，项目实施地应急管理部门对成交供应商提交的货物依据招标文件上的技术规格要求和国家有关质量标准进行现场初步验收，外观、说明书符合招标文件技术要求的，给予签收，初步验收不合格的不予签收。 3、项目实施地应急管理部门对成交供应商提供的货物在使用前进行调试时，成交供应商需负责安装并培训采购人的使用操作人员，并协助采购人一起调试，直到符合技术要求，采购人最终验收。 4、对技术复杂的货物，采购人可请国家认可的专业检测机构参与初步验收及最终验收，并由其出具质量检测报告，验收、检测的费用已包含在合同总价中。 5、质保期满后：由成交供应商出具质保期运行质量报告，若存在质量问题且问题出现在质保期内，成交供应商应履行保修义务予以修复。 6、验收依据： 6-1、合同文本、合同附件、招标文件、投标文件。 6-2、国内、省内相应的标准、规范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涉及的商品包装，均应符合《商品包装政府采购需求标准（试行）》的要求，包装应适应于远距离运输、防潮、防震、防锈和防野蛮装卸，以确保货物安全无损运抵指定地点。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质保期：详见技术要求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投标截止日前一年内任意一个月的纳税证明或完税证明，纳税证明或完税证明上应有代收机构或税务机关的公章或业务专用章；其他组织和自然人提供投标截止日前一年内任意一个月缴纳税收的凭据；依法免税的或者依法不需缴税的供应商应提供相关文件证明； ③社会保障资金缴纳证明：提供投标截止日前一年内任意一个月已缴纳的社会保障资金的证明（社会保障资金缴存单据或社保机构开具的社会保险参保缴费情况证明等）；依法不需要缴纳社会保障资金的供应商应提供相关文件证明； ④提供具有履行合同所必需的设备和专业技术能力的声明；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法定代表人直接参加投标，须提供法定代表人身份证明及身份证复印件；授权代表参与投标，须提供法定代表人授权书（附法定代表人、被授权人身份证复印件）及被授权人身份证复印件。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商务、服务条款偏离表.docx 中小企业声明函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投标保证金未提交或金额、形式不符合招标文件要求的，评标委员会应当将其投标文件作为无效处理。</w:t>
            </w:r>
          </w:p>
        </w:tc>
        <w:tc>
          <w:tcPr>
            <w:tcW w:type="dxa" w:w="1661"/>
          </w:tcPr>
          <w:p>
            <w:pPr>
              <w:pStyle w:val="null3"/>
            </w:pPr>
            <w:r>
              <w:rPr>
                <w:rFonts w:ascii="仿宋_GB2312" w:hAnsi="仿宋_GB2312" w:cs="仿宋_GB2312" w:eastAsia="仿宋_GB2312"/>
              </w:rPr>
              <w:t>商务、服务条款偏离表.docx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投标内容出现漏项或数量与要求不符或投标内容的技术指标达不到招标文件要求，造成采购档次降低或影响采购性能、功能，评标委员会应当将其投标文件作为无效处理。</w:t>
            </w:r>
          </w:p>
        </w:tc>
        <w:tc>
          <w:tcPr>
            <w:tcW w:type="dxa" w:w="1661"/>
          </w:tcPr>
          <w:p>
            <w:pPr>
              <w:pStyle w:val="null3"/>
            </w:pPr>
            <w:r>
              <w:rPr>
                <w:rFonts w:ascii="仿宋_GB2312" w:hAnsi="仿宋_GB2312" w:cs="仿宋_GB2312" w:eastAsia="仿宋_GB2312"/>
              </w:rPr>
              <w:t>开标一览表 分项报价表.docx 商务、服务条款偏离表.docx 项目方案.docx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不符合招标文件要求的，评标委员会应当将其投标文件作为无效处理。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项目方案.docx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供应商所投产品技术参数与招标文件“第三章 招标项目技术、服务、商务及其他要求之3.3技术要求”中的“1、森林草原火险综合监测站指标要求”内的标题项逐条进行明确响应，并提供相关证明材料。 满足招标文件技术指标的得19分，技术指标未标注“★”号的技术指标每负偏离一项扣0.5分，扣完为止。 备注： 1.技术参数及要求中供应商须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2.供应商需对所提供内容的真实性负责，如有虚假，将依法承担相应责任。 3.上述描述中关于标题项的描述具体要求如下： （1）解释：本评审项中最基础评审单元为“1、森林草原火险综合监测站指标要求”中的三级标题，即“x)”。若标题中不包含下一级标题，则该标题项自身作为本评审项的评审单元之一即“(x)”及“x”。 （2）例如：“1、监测指标（1）可燃物含水率传感器监测指”中的“1）地表凋落物含水率”及“2、通信指标”中的“（1）支持 GPRS/3G/4G 公网与北斗 3 号短报文数据传输；”均作为本评审项的评审单元。 （3）评审单元下的所有技术参数内容若有一项负偏离则视为该评审单元整体负偏离。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1、总体方案评审：投标人结合本项目组织实施内容编制总体方案，由评标委员会进行综合评审： （1）方案逻辑层次清晰、针对性强、与建设内容的吻合程度高的，得5分； （2）方案逻辑层次较清晰、针对性较强、与建设内容的吻合程度一般，内容较简单的，得2分； （3）方案逻辑层次不清晰、不全面，得1分； （4）未提供的不得分。 2、应急处置能力评审：根据投标人针对本项目的突发应急情况提出的应急处置方案评审； （1）方案逻辑层次清晰、针对性强、与建设内容的吻合程度高的，得5分； （2）方案逻辑层次较清晰、针对性较强、与建设内容的吻合程度一般，内容较简单的，得2分； （3）方案逻辑层次不清晰、不全面，得1分； （4）未提供的不得分。 3、资金保障能力评审：投标人具备详细的资金统筹计划方案，合理规划资金使用，由评标委员会进行综合评审： （1）方案逻辑层次清晰、针对性强、与建设内容的吻合程度高的，得5分； （2）方案逻辑层次较清晰、针对性较强、与建设内容的吻合程度一般，内容较简单的，得2分； （3）方案逻辑层次不清晰、不全面，得1分； （4）未提供的不得分。 4、组织能力评审：投标人结合本项目建设内容编制详细的进度安排、投资控制、安全生产方案，由评标委员会进行综合评审： （1）方案逻辑层次清晰、针对性强、与建设内容的吻合程度高的，得4分； （2）方案逻辑层次较清晰、针对性较强、与建设内容的吻合程度一般，内容较简单的，得2分； （3）方案逻辑层次不清晰、不全面，得1分； （4）未提供的不得分。 5、系统集成能力评审：投标人结合本项目系统集成要求编制详细的方案，由评标委员会进行综合评审： （1）方案逻辑层次清晰、针对性强、与建设内容的吻合程度高的，得4分； （2）方案逻辑层次较清晰、针对性较强、与建设内容的吻合程度一般，内容较简单的，得2分； （3）方案逻辑层次不清晰、不全面，得1分； （4）未提供的不得分。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方案优化承诺</w:t>
            </w:r>
          </w:p>
        </w:tc>
        <w:tc>
          <w:tcPr>
            <w:tcW w:type="dxa" w:w="2492"/>
          </w:tcPr>
          <w:p>
            <w:pPr>
              <w:pStyle w:val="null3"/>
            </w:pPr>
            <w:r>
              <w:rPr>
                <w:rFonts w:ascii="仿宋_GB2312" w:hAnsi="仿宋_GB2312" w:cs="仿宋_GB2312" w:eastAsia="仿宋_GB2312"/>
              </w:rPr>
              <w:t>根据投标人针对本项目以下内容逐项提供方案优化承诺，由评标委员会进行综合评审：每一项内容完整、描述清晰，可行性强得2分，基本满足项目需要，得1分；内容笼统、描述简单，可行性较差，得0.5分；未提供的不得分，本项总计8分。 （1）本次投标报价应充分响应招标文件的所有内容，同时兼顾考虑项目实施过程中由于方案产品优化完善所产生的费用。 （内容包括但不限于：备品备件及零部件配备、定期巡检、技术支持人员、售后服务方案、质保期、教育培训等内容。投标人需综合考虑本次优化服务方案所产生的相关费用，需包含在投标报价中）。（2）中标后在投标方案的基础上进行方案产品的优化和完善，中标价为方案产品优化和完善的最高限价，各投标人不得以各种理由增加相应的费用。 （3）在优化方案产品中出现设备及材料变化时，应选择性能配置高于投标时的设备配置、材料性能，且调整后的设备配置、材料性能须经采购人同意，但不得做实质性变动。 （4）在优化方案产品时，在保证质量的前提下优先采购国产化产品，充分考虑质优、价廉、物美的产品。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团队服务能力</w:t>
            </w:r>
          </w:p>
        </w:tc>
        <w:tc>
          <w:tcPr>
            <w:tcW w:type="dxa" w:w="2492"/>
          </w:tcPr>
          <w:p>
            <w:pPr>
              <w:pStyle w:val="null3"/>
            </w:pPr>
            <w:r>
              <w:rPr>
                <w:rFonts w:ascii="仿宋_GB2312" w:hAnsi="仿宋_GB2312" w:cs="仿宋_GB2312" w:eastAsia="仿宋_GB2312"/>
              </w:rPr>
              <w:t>1、项目经理：本项目配备的项目经理应具备信息系统项目管理师、系统架构设计师证书，每提供一个得1分，最高2分，不提供不得分。 2、项目服务团队：除项目经理以外的省级服务团队人员需持有：信息系统项目管理师证书、系统架构设计师证书、系统分析师证书。每具有上述一项证书得0.5分，本项最多得3分。1人同时具有多项证书只计算其中1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培训及售后能力</w:t>
            </w:r>
          </w:p>
        </w:tc>
        <w:tc>
          <w:tcPr>
            <w:tcW w:type="dxa" w:w="2492"/>
          </w:tcPr>
          <w:p>
            <w:pPr>
              <w:pStyle w:val="null3"/>
            </w:pPr>
            <w:r>
              <w:rPr>
                <w:rFonts w:ascii="仿宋_GB2312" w:hAnsi="仿宋_GB2312" w:cs="仿宋_GB2312" w:eastAsia="仿宋_GB2312"/>
              </w:rPr>
              <w:t>1、投标人提供的培训方案中的培训体系、培训队伍、培训计划、培训对象、培训形式及内容等方面进行评价， （1）培训方案完整详细、描述清晰、内容科学合理、可实施性强的，得4分。 （2）培训方案较完整但简单、内容合理性及可实施性一般的，得2分。 （3）方案内容有缺失，影响到项目实施的，得1分。 （4）未提供的不得分。 2、投标人提供全面、详细、可行的售后服务方案(内容包括但不限于售后服务团队、可覆盖全省服务能力、售后服务响应时间、售后服务方案、保障措施等)。故障管理响应时间、响应速度及响应方式进行评价 （1）方案完整详细、描述清晰、可实施性强的得4分。 （2）方案较完整但简单粗略、内容合理性及可实施性一般的得2分。 （3）方案内容有缺失，影响到项目实施的，得1分。 （4）未提供的不得分。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保密与廉洁措施</w:t>
            </w:r>
          </w:p>
        </w:tc>
        <w:tc>
          <w:tcPr>
            <w:tcW w:type="dxa" w:w="2492"/>
          </w:tcPr>
          <w:p>
            <w:pPr>
              <w:pStyle w:val="null3"/>
            </w:pPr>
            <w:r>
              <w:rPr>
                <w:rFonts w:ascii="仿宋_GB2312" w:hAnsi="仿宋_GB2312" w:cs="仿宋_GB2312" w:eastAsia="仿宋_GB2312"/>
              </w:rPr>
              <w:t>1、保密措施： 投标人针对项目安全保密职责提供具体的保密措施，由评标委员会进行综合评审： （1）保密措施内容详细完整，且利于项目实施的得1分； （2）保密措施内容满足本项目需求，合理且不影响项目实施的得0.5分； （3）保密措施内容有欠缺，影响到项目实施的得0.2分； （4）未提供的不得分。 2、廉洁措施： 投标人针对项目廉洁管理提供具体的廉洁措施，由评标委员会进行综合评审： （1）廉洁措施内容详细完整，且利于项目实施的得1分； （2）廉洁措施内容满足本项目需求，合理且不影响项目实施的得0.5分； （3）廉洁措施内容有欠缺，影响到项目实施的得0.2分； （4）未提供的不得分。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提供投标人自2022年1月1日至今承担过的类似项目业绩，每提供1个项目合同得1分，最多得5分。 注：提供合同（包括合同首页、合同内容描述页、合同盖章页）并加盖投标人公章；合同案例中合同的乙方必须与投标人的名称完全一致，如单位名称发生变更，必须提供证明文件，时间以合同签订时间为准。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详见附件：商务、服务条款偏离表.docx</w:t>
      </w:r>
    </w:p>
    <w:p>
      <w:pPr>
        <w:pStyle w:val="null3"/>
        <w:ind w:firstLine="960"/>
      </w:pPr>
      <w:r>
        <w:rPr>
          <w:rFonts w:ascii="仿宋_GB2312" w:hAnsi="仿宋_GB2312" w:cs="仿宋_GB2312" w:eastAsia="仿宋_GB2312"/>
        </w:rPr>
        <w:t>详见附件：项目方案.docx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