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版本号：WDZB2025-118820250918001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采购2025年陕西省电子商务监测分析服务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WDZB2025-1188</w:t>
      </w:r>
      <w:r>
        <w:br/>
      </w:r>
      <w:r>
        <w:br/>
      </w:r>
      <w:r>
        <w:br/>
      </w:r>
    </w:p>
    <w:p>
      <w:pPr>
        <w:pStyle w:val="null3"/>
        <w:jc w:val="center"/>
        <w:outlineLvl w:val="2"/>
      </w:pPr>
      <w:r>
        <w:rPr>
          <w:rFonts w:ascii="仿宋_GB2312" w:hAnsi="仿宋_GB2312" w:cs="仿宋_GB2312" w:eastAsia="仿宋_GB2312"/>
          <w:sz w:val="28"/>
          <w:b/>
        </w:rPr>
        <w:t>陕西省商务厅机关</w:t>
      </w:r>
    </w:p>
    <w:p>
      <w:pPr>
        <w:pStyle w:val="null3"/>
        <w:jc w:val="center"/>
        <w:outlineLvl w:val="2"/>
      </w:pPr>
      <w:r>
        <w:rPr>
          <w:rFonts w:ascii="仿宋_GB2312" w:hAnsi="仿宋_GB2312" w:cs="仿宋_GB2312" w:eastAsia="仿宋_GB2312"/>
          <w:sz w:val="28"/>
          <w:b/>
        </w:rPr>
        <w:t>陕西万德招标有限公司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陕西万德招标有限公司</w:t>
      </w:r>
      <w:r>
        <w:rPr>
          <w:rFonts w:ascii="仿宋_GB2312" w:hAnsi="仿宋_GB2312" w:cs="仿宋_GB2312" w:eastAsia="仿宋_GB2312"/>
        </w:rPr>
        <w:t>（以下简称“代理机构”）受</w:t>
      </w:r>
      <w:r>
        <w:rPr>
          <w:rFonts w:ascii="仿宋_GB2312" w:hAnsi="仿宋_GB2312" w:cs="仿宋_GB2312" w:eastAsia="仿宋_GB2312"/>
        </w:rPr>
        <w:t>陕西省商务厅机关</w:t>
      </w:r>
      <w:r>
        <w:rPr>
          <w:rFonts w:ascii="仿宋_GB2312" w:hAnsi="仿宋_GB2312" w:cs="仿宋_GB2312" w:eastAsia="仿宋_GB2312"/>
        </w:rPr>
        <w:t>委托，拟对</w:t>
      </w:r>
      <w:r>
        <w:rPr>
          <w:rFonts w:ascii="仿宋_GB2312" w:hAnsi="仿宋_GB2312" w:cs="仿宋_GB2312" w:eastAsia="仿宋_GB2312"/>
        </w:rPr>
        <w:t>采购2025年陕西省电子商务监测分析服务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WDZB2025-1188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采购2025年陕西省电子商务监测分析服务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陕西省商务厅采购2025年陕西省电子商务监测分析服务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1、身份证明文件：法定代表人授权书（附法定代表人身份证复印件）及被授权人身份证。（法定代表人直接参加磋商只须提供法定代表人身份证）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陕西省商务厅机关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西安市新城大院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麻红让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029-63914021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西安市南二环西段21号华融国际商务大厦A座15层B区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曹国霞、张静、戚洪良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029-85561862/85561863转801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及《国家发展改革委办公厅关于招标代理服务收费有关问题的通知》（发改办价格[2003]857号）中的规定，按差额定率累进法计算，以中标通知书确定的中标金额作为收费计算依据。经甲乙双方协商后决定，由中标（成交）人在领取中标（成交）通知书前向采购代理机构一次性支付。招标代理服务费支付方式：银行转账或现金方式收款单位：陕西万德招标有限公司开户银行：中国银行西安南二环支行 银行账号：103673241394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陕西省商务厅机关</w:t>
      </w:r>
      <w:r>
        <w:rPr>
          <w:rFonts w:ascii="仿宋_GB2312" w:hAnsi="仿宋_GB2312" w:cs="仿宋_GB2312" w:eastAsia="仿宋_GB2312"/>
        </w:rPr>
        <w:t>和</w:t>
      </w:r>
      <w:r>
        <w:rPr>
          <w:rFonts w:ascii="仿宋_GB2312" w:hAnsi="仿宋_GB2312" w:cs="仿宋_GB2312" w:eastAsia="仿宋_GB2312"/>
        </w:rPr>
        <w:t>陕西万德招标有限公司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陕西省商务厅机关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陕西省商务厅机关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陕西万德招标有限公司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陕西万德招标有限公司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联系人：曹国霞、张静、戚洪良</w:t>
      </w:r>
    </w:p>
    <w:p>
      <w:pPr>
        <w:pStyle w:val="null3"/>
      </w:pPr>
      <w:r>
        <w:rPr>
          <w:rFonts w:ascii="仿宋_GB2312" w:hAnsi="仿宋_GB2312" w:cs="仿宋_GB2312" w:eastAsia="仿宋_GB2312"/>
        </w:rPr>
        <w:t>联系电话：029-85561862/85561863转801</w:t>
      </w:r>
    </w:p>
    <w:p>
      <w:pPr>
        <w:pStyle w:val="null3"/>
      </w:pPr>
      <w:r>
        <w:rPr>
          <w:rFonts w:ascii="仿宋_GB2312" w:hAnsi="仿宋_GB2312" w:cs="仿宋_GB2312" w:eastAsia="仿宋_GB2312"/>
        </w:rPr>
        <w:t>地址：西安市南二环西段21号华融国际商务大厦A座15层B区</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陕西省商务厅采购2025年陕西省电子商务监测分析服务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480,000.00</w:t>
      </w:r>
    </w:p>
    <w:p>
      <w:pPr>
        <w:pStyle w:val="null3"/>
      </w:pPr>
      <w:r>
        <w:rPr>
          <w:rFonts w:ascii="仿宋_GB2312" w:hAnsi="仿宋_GB2312" w:cs="仿宋_GB2312" w:eastAsia="仿宋_GB2312"/>
        </w:rPr>
        <w:t>采购包最高限价（元）: 480,000.00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2025年陕西省电子商务监测分析服务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标的名称：2025年陕西省电子商务监测分析服务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采购内容：</w:t>
            </w:r>
            <w:r>
              <w:rPr>
                <w:rFonts w:ascii="仿宋_GB2312" w:hAnsi="仿宋_GB2312" w:cs="仿宋_GB2312" w:eastAsia="仿宋_GB2312"/>
              </w:rPr>
              <w:t>在</w:t>
            </w:r>
            <w:r>
              <w:rPr>
                <w:rFonts w:ascii="仿宋_GB2312" w:hAnsi="仿宋_GB2312" w:cs="仿宋_GB2312" w:eastAsia="仿宋_GB2312"/>
              </w:rPr>
              <w:t>202</w:t>
            </w:r>
            <w:r>
              <w:rPr>
                <w:rFonts w:ascii="仿宋_GB2312" w:hAnsi="仿宋_GB2312" w:cs="仿宋_GB2312" w:eastAsia="仿宋_GB2312"/>
              </w:rPr>
              <w:t>5</w:t>
            </w:r>
            <w:r>
              <w:rPr>
                <w:rFonts w:ascii="仿宋_GB2312" w:hAnsi="仿宋_GB2312" w:cs="仿宋_GB2312" w:eastAsia="仿宋_GB2312"/>
              </w:rPr>
              <w:t>年</w:t>
            </w:r>
            <w:r>
              <w:rPr>
                <w:rFonts w:ascii="仿宋_GB2312" w:hAnsi="仿宋_GB2312" w:cs="仿宋_GB2312" w:eastAsia="仿宋_GB2312"/>
              </w:rPr>
              <w:t>10月—2026年9月期间，开展</w:t>
            </w:r>
            <w:r>
              <w:rPr>
                <w:rFonts w:ascii="仿宋_GB2312" w:hAnsi="仿宋_GB2312" w:cs="仿宋_GB2312" w:eastAsia="仿宋_GB2312"/>
              </w:rPr>
              <w:t>陕西省电子商务监测分析服务，所提供数据应全面、科学、准确地反映陕西省电子商务交易和变化情况。</w:t>
            </w:r>
          </w:p>
          <w:p>
            <w:pPr>
              <w:pStyle w:val="null3"/>
              <w:jc w:val="both"/>
            </w:pPr>
            <w:r>
              <w:rPr>
                <w:rFonts w:ascii="仿宋_GB2312" w:hAnsi="仿宋_GB2312" w:cs="仿宋_GB2312" w:eastAsia="仿宋_GB2312"/>
              </w:rPr>
              <w:t>服务项目包括以下主要内容：</w:t>
            </w:r>
          </w:p>
          <w:p>
            <w:pPr>
              <w:pStyle w:val="null3"/>
              <w:jc w:val="both"/>
            </w:pPr>
            <w:r>
              <w:rPr>
                <w:rFonts w:ascii="仿宋_GB2312" w:hAnsi="仿宋_GB2312" w:cs="仿宋_GB2312" w:eastAsia="仿宋_GB2312"/>
              </w:rPr>
              <w:t>1.</w:t>
            </w:r>
            <w:r>
              <w:rPr>
                <w:rFonts w:ascii="仿宋_GB2312" w:hAnsi="仿宋_GB2312" w:cs="仿宋_GB2312" w:eastAsia="仿宋_GB2312"/>
              </w:rPr>
              <w:t>每月电子商务监测分析报告：陕西省及各市（区）网络零售市场主要指标运行情况；陕西省农村和城市及农产品网络零售情况。</w:t>
            </w:r>
          </w:p>
          <w:p>
            <w:pPr>
              <w:pStyle w:val="null3"/>
              <w:jc w:val="both"/>
            </w:pPr>
            <w:r>
              <w:rPr>
                <w:rFonts w:ascii="仿宋_GB2312" w:hAnsi="仿宋_GB2312" w:cs="仿宋_GB2312" w:eastAsia="仿宋_GB2312"/>
              </w:rPr>
              <w:t>2.</w:t>
            </w:r>
            <w:r>
              <w:rPr>
                <w:rFonts w:ascii="仿宋_GB2312" w:hAnsi="仿宋_GB2312" w:cs="仿宋_GB2312" w:eastAsia="仿宋_GB2312"/>
              </w:rPr>
              <w:t>每季度电子商务监测分析报告：陕西省及各市（区）网络零售主要指标运行情况、</w:t>
            </w:r>
            <w:r>
              <w:rPr>
                <w:rFonts w:ascii="仿宋_GB2312" w:hAnsi="仿宋_GB2312" w:cs="仿宋_GB2312" w:eastAsia="仿宋_GB2312"/>
              </w:rPr>
              <w:t>重点商品</w:t>
            </w:r>
            <w:r>
              <w:rPr>
                <w:rFonts w:ascii="仿宋_GB2312" w:hAnsi="仿宋_GB2312" w:cs="仿宋_GB2312" w:eastAsia="仿宋_GB2312"/>
              </w:rPr>
              <w:t>网络零售</w:t>
            </w:r>
            <w:r>
              <w:rPr>
                <w:rFonts w:ascii="仿宋_GB2312" w:hAnsi="仿宋_GB2312" w:cs="仿宋_GB2312" w:eastAsia="仿宋_GB2312"/>
              </w:rPr>
              <w:t>数据分析</w:t>
            </w:r>
            <w:r>
              <w:rPr>
                <w:rFonts w:ascii="仿宋_GB2312" w:hAnsi="仿宋_GB2312" w:cs="仿宋_GB2312" w:eastAsia="仿宋_GB2312"/>
              </w:rPr>
              <w:t>；陕西省电商主体数量、主要平台销售情况分析；陕西省农村和城市及农产品网络零售、直播</w:t>
            </w:r>
            <w:r>
              <w:rPr>
                <w:rFonts w:ascii="仿宋_GB2312" w:hAnsi="仿宋_GB2312" w:cs="仿宋_GB2312" w:eastAsia="仿宋_GB2312"/>
              </w:rPr>
              <w:t>等新业态</w:t>
            </w:r>
            <w:r>
              <w:rPr>
                <w:rFonts w:ascii="仿宋_GB2312" w:hAnsi="仿宋_GB2312" w:cs="仿宋_GB2312" w:eastAsia="仿宋_GB2312"/>
              </w:rPr>
              <w:t>发展情况。</w:t>
            </w:r>
          </w:p>
          <w:p>
            <w:pPr>
              <w:pStyle w:val="null3"/>
              <w:jc w:val="both"/>
            </w:pPr>
            <w:r>
              <w:rPr>
                <w:rFonts w:ascii="仿宋_GB2312" w:hAnsi="仿宋_GB2312" w:cs="仿宋_GB2312" w:eastAsia="仿宋_GB2312"/>
              </w:rPr>
              <w:t>3.年度</w:t>
            </w:r>
            <w:r>
              <w:rPr>
                <w:rFonts w:ascii="仿宋_GB2312" w:hAnsi="仿宋_GB2312" w:cs="仿宋_GB2312" w:eastAsia="仿宋_GB2312"/>
              </w:rPr>
              <w:t>电子商务监测分析报告：陕西省及各市（区）网络零售市场主要指标、主要行业大类网络零售、在线服务行业网络零售等市场运行情况综合分析；陕西省电商主体数量分布情况、直播</w:t>
            </w:r>
            <w:r>
              <w:rPr>
                <w:rFonts w:ascii="仿宋_GB2312" w:hAnsi="仿宋_GB2312" w:cs="仿宋_GB2312" w:eastAsia="仿宋_GB2312"/>
              </w:rPr>
              <w:t>等新业态</w:t>
            </w:r>
            <w:r>
              <w:rPr>
                <w:rFonts w:ascii="仿宋_GB2312" w:hAnsi="仿宋_GB2312" w:cs="仿宋_GB2312" w:eastAsia="仿宋_GB2312"/>
              </w:rPr>
              <w:t>发展情况分析；陕西省农村、农产品网络零售市场分析；陕西省网络零售市场发展潜力及预测分析，电子商务发展中存在的问题及对策建议。</w:t>
            </w:r>
          </w:p>
          <w:p>
            <w:pPr>
              <w:pStyle w:val="null3"/>
              <w:jc w:val="both"/>
            </w:pPr>
            <w:r>
              <w:rPr>
                <w:rFonts w:ascii="仿宋_GB2312" w:hAnsi="仿宋_GB2312" w:cs="仿宋_GB2312" w:eastAsia="仿宋_GB2312"/>
              </w:rPr>
              <w:t>4.</w:t>
            </w:r>
            <w:r>
              <w:rPr>
                <w:rFonts w:ascii="仿宋_GB2312" w:hAnsi="仿宋_GB2312" w:cs="仿宋_GB2312" w:eastAsia="仿宋_GB2312"/>
              </w:rPr>
              <w:t>重点</w:t>
            </w:r>
            <w:r>
              <w:rPr>
                <w:rFonts w:ascii="仿宋_GB2312" w:hAnsi="仿宋_GB2312" w:cs="仿宋_GB2312" w:eastAsia="仿宋_GB2312"/>
              </w:rPr>
              <w:t>网络</w:t>
            </w:r>
            <w:r>
              <w:rPr>
                <w:rFonts w:ascii="仿宋_GB2312" w:hAnsi="仿宋_GB2312" w:cs="仿宋_GB2312" w:eastAsia="仿宋_GB2312"/>
              </w:rPr>
              <w:t>促销活动</w:t>
            </w:r>
            <w:r>
              <w:rPr>
                <w:rFonts w:ascii="仿宋_GB2312" w:hAnsi="仿宋_GB2312" w:cs="仿宋_GB2312" w:eastAsia="仿宋_GB2312"/>
              </w:rPr>
              <w:t>专题报告：</w:t>
            </w:r>
            <w:r>
              <w:rPr>
                <w:rFonts w:ascii="仿宋_GB2312" w:hAnsi="仿宋_GB2312" w:cs="仿宋_GB2312" w:eastAsia="仿宋_GB2312"/>
              </w:rPr>
              <w:t>春节、五一、国庆等</w:t>
            </w:r>
            <w:r>
              <w:rPr>
                <w:rFonts w:ascii="仿宋_GB2312" w:hAnsi="仿宋_GB2312" w:cs="仿宋_GB2312" w:eastAsia="仿宋_GB2312"/>
              </w:rPr>
              <w:t>小长假</w:t>
            </w:r>
            <w:r>
              <w:rPr>
                <w:rFonts w:ascii="仿宋_GB2312" w:hAnsi="仿宋_GB2312" w:cs="仿宋_GB2312" w:eastAsia="仿宋_GB2312"/>
              </w:rPr>
              <w:t>，</w:t>
            </w:r>
            <w:r>
              <w:rPr>
                <w:rFonts w:ascii="仿宋_GB2312" w:hAnsi="仿宋_GB2312" w:cs="仿宋_GB2312" w:eastAsia="仿宋_GB2312"/>
              </w:rPr>
              <w:t>“618”“双11”“双12”等电商促销节点，以及商务部组织开展的网上年货节、双品网购节</w:t>
            </w:r>
            <w:r>
              <w:rPr>
                <w:rFonts w:ascii="仿宋_GB2312" w:hAnsi="仿宋_GB2312" w:cs="仿宋_GB2312" w:eastAsia="仿宋_GB2312"/>
              </w:rPr>
              <w:t>、数商兴农庆丰收和丝路云品电商节</w:t>
            </w:r>
            <w:r>
              <w:rPr>
                <w:rFonts w:ascii="仿宋_GB2312" w:hAnsi="仿宋_GB2312" w:cs="仿宋_GB2312" w:eastAsia="仿宋_GB2312"/>
              </w:rPr>
              <w:t>等重点促销活动期间的全省网络销售数据和主要行业趋势分析。</w:t>
            </w:r>
          </w:p>
          <w:p>
            <w:pPr>
              <w:pStyle w:val="null3"/>
              <w:jc w:val="both"/>
            </w:pPr>
            <w:r>
              <w:rPr>
                <w:rFonts w:ascii="仿宋_GB2312" w:hAnsi="仿宋_GB2312" w:cs="仿宋_GB2312" w:eastAsia="仿宋_GB2312"/>
              </w:rPr>
              <w:t>5.陕西服务消费监测专题报告：借助大数据监测技术开展服务消费数据收集和研究，开展相关服务行业市场需求、消费趋势的系统分析，优化线上服务消费监测的数据分类和整理汇总，形成服务消费网络零售数据报告，为全面反映陕西网络消费市场运行情况提供有效数据支撑。</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提供网络零售数据查询系统在线应用服务，向采购人开放账户使用权限，可实现全天候陕西省整体和细分领域网络零售数据的查询，具有对陕西省网络零售市场整体交易规模、发展趋势、不同行政区域、不同行业（包含实物行业、非实物行业）、不同渠道（包含</w:t>
            </w:r>
            <w:r>
              <w:rPr>
                <w:rFonts w:ascii="仿宋_GB2312" w:hAnsi="仿宋_GB2312" w:cs="仿宋_GB2312" w:eastAsia="仿宋_GB2312"/>
                <w:sz w:val="21"/>
              </w:rPr>
              <w:t>B2C、C2C）等维度进行数据“图+表”分析和展现能力，提供农产品上行、直播电商、跨境电商等特色专题监测服</w:t>
            </w:r>
            <w:r>
              <w:rPr>
                <w:rFonts w:ascii="仿宋_GB2312" w:hAnsi="仿宋_GB2312" w:cs="仿宋_GB2312" w:eastAsia="仿宋_GB2312"/>
                <w:sz w:val="21"/>
              </w:rPr>
              <w:t>务。同时基于先进的大模型技术构建智能AI助手功能，用户可根据需求输入相关问题，助手可给出想要查询的问题的答复信息。</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人与采购人应严格按照政府采购相关法律法规以及《财政部关于进一步加强政府采购需求和履约验收管理的指导意见》（财库〔2016〕205号）、《政府采购需求管理办法》（财库〔2021〕22号）的要求进行验收。 2、本项目在成交人通知服务履约完毕后进行验收。 3、服务内容完成后先由中标人进行自检，自检合格后邀请采购人进行验收。采购人确认中标人的自检内容后，组织中标人（必要时请有关专家）进行最终验收，验收时中标人应派员参加，共同对验收结果进行确认，并承担相关责任（必要时采购人可委托具有相关资质的第三方检测机构/有专业技术能力的专家对本服务项目进行验收，由此产生的相关费用由中标人承担，需要国家法定检验部门进行检验或验收的由中标人负责联系）。 4、验收依据包括但不限于合同文本、竞争性磋商文件、响应文件。 5、验收合格后，填写验收单，并向采购人提交所有资料，以便使用单位日后管理和维护。</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民法典》中的相关条款执行。2.乙方未按协议要求提供服务或服务质量不能满足协议要求的，甲方应当将供应商违约的情况以及拟采取的措施以书面形式报政府采购监管部门，根据政府采购监管部门的处理意见，甲方有权依据《民法典》有关条款及合同约定终止合同，并要求乙方承担违约责任。同时，政府采购监管部门有权依据《政府采购法》及相关法律法规对乙方的违法行为进行相应的处罚。3.由于不可抗力因素造成无法按照原计划提供服务，双方互不追究违约责任。4.如有异议另行协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响应文件，同时，成交供应商须在发布成交公告后线下提交响应文件正本壹份、副本贰份。线下提交响应文件地点：西安市南二环西段21号华融国际商务大厦A座15层B区；联系电话：029-85561862/85561863转801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1-1、具有独立承担民事责任能力的法人、其他组织或自然人，并出具合法有效的营业执照或事业单位法人证书等国家规定的相关证明，自然人参与的提供其身份证明； 1-2、财务状况报告（任选其一）：(1)、2024年度经审计的财务会计报告（须包含：资产负债表、现金流量表、利润表、所有者权益变动表、财务报表附注、审计公司证照及经办注册会计师资格证书） (2)、2025年01月01日至今基本账户银行出具的资信证明（附开户行许可证或基本存款账户信息）； 1-3、税收缴纳证明：提供2025年01月至今已缴纳的至少一个月的纳税证明或完税证明，依法免税的单位应提供相关证明材料； 1-4、社会保障资金缴纳证明：提供2025年01月至今已缴纳的至少一个月的社会保障资金缴存单据或社保机构开具的社会保险参保缴费情况证明，依法不需要缴纳社会保障资金的单位应提供相关证明材料； 1-5、提供参加政府采购活动前三年内在经营活动中没有重大违法记录的书面声明；（采购人、采购代理机构将于本项目磋商截止日在‘信用中国’网站、‘中国政府采购网’网站等渠道对供应商进行信用记录查询，凡被列入失信被执行人、重大税收违法失信主体、政府采购严重违法失信行为记录名单的，视为存在不良信用记录，参与本项目的将被拒绝。） 1-6、提供具有履行本合同所必需的设备和专业技术能力的说明及承诺。</w:t>
            </w:r>
          </w:p>
        </w:tc>
        <w:tc>
          <w:tcPr>
            <w:tcW w:type="dxa" w:w="1661"/>
          </w:tcPr>
          <w:p>
            <w:pPr>
              <w:pStyle w:val="null3"/>
            </w:pPr>
            <w:r>
              <w:rPr>
                <w:rFonts w:ascii="仿宋_GB2312" w:hAnsi="仿宋_GB2312" w:cs="仿宋_GB2312" w:eastAsia="仿宋_GB2312"/>
              </w:rPr>
              <w:t>响应文件封面 供应商应提交的相关资格证明材料 资格证明文件格式.docx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身份证明文件</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法定代表人授权书（附法定代表人身份证复印件）及被授权人身份证。（法定代表人直接参加磋商只须提供法定代表人身份证）</w:t>
            </w:r>
          </w:p>
        </w:tc>
        <w:tc>
          <w:tcPr>
            <w:tcW w:type="dxa" w:w="1661"/>
          </w:tcPr>
          <w:p>
            <w:pPr>
              <w:pStyle w:val="null3"/>
            </w:pPr>
            <w:r>
              <w:rPr>
                <w:rFonts w:ascii="仿宋_GB2312" w:hAnsi="仿宋_GB2312" w:cs="仿宋_GB2312" w:eastAsia="仿宋_GB2312"/>
              </w:rPr>
              <w:t>供应商应提交的相关资格证明材料 资格证明文件格式.docx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w:t>
            </w:r>
          </w:p>
        </w:tc>
        <w:tc>
          <w:tcPr>
            <w:tcW w:type="dxa" w:w="3322"/>
          </w:tcPr>
          <w:p>
            <w:pPr>
              <w:pStyle w:val="null3"/>
            </w:pPr>
            <w:r>
              <w:rPr>
                <w:rFonts w:ascii="仿宋_GB2312" w:hAnsi="仿宋_GB2312" w:cs="仿宋_GB2312" w:eastAsia="仿宋_GB2312"/>
              </w:rPr>
              <w:t>签章均符合竞争性磋商文件要求，且无遗漏。</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资格证明文件格式.docx 报价表 响应文件封面 残疾人福利性单位声明函 服务方案 标的清单 供应商业绩.docx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供应商应提交的相关资格证明材料 资格证明文件格式.docx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同时满足以下条款：（1）、货币单位符合竞争性磋商文件要求；（2）、报价符合唯一性要求；（3）、未超出采购预算或最高限价。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商务及服务要求</w:t>
            </w:r>
          </w:p>
        </w:tc>
        <w:tc>
          <w:tcPr>
            <w:tcW w:type="dxa" w:w="3322"/>
          </w:tcPr>
          <w:p>
            <w:pPr>
              <w:pStyle w:val="null3"/>
            </w:pPr>
            <w:r>
              <w:rPr>
                <w:rFonts w:ascii="仿宋_GB2312" w:hAnsi="仿宋_GB2312" w:cs="仿宋_GB2312" w:eastAsia="仿宋_GB2312"/>
              </w:rPr>
              <w:t>商务及服务要求不得出现负偏离。</w:t>
            </w:r>
          </w:p>
        </w:tc>
        <w:tc>
          <w:tcPr>
            <w:tcW w:type="dxa" w:w="1661"/>
          </w:tcPr>
          <w:p>
            <w:pPr>
              <w:pStyle w:val="null3"/>
            </w:pPr>
            <w:r>
              <w:rPr>
                <w:rFonts w:ascii="仿宋_GB2312" w:hAnsi="仿宋_GB2312" w:cs="仿宋_GB2312" w:eastAsia="仿宋_GB2312"/>
              </w:rPr>
              <w:t>服务内容及服务邀请应答表 商务应答表 服务方案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服务内容及服务邀请应答表 中小企业声明函 残疾人福利性单位声明函 商务应答表 服务方案 供应商应提交的相关资格证明材料 标的清单 资格证明文件格式.docx 报价表 供应商业绩.docx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根据本项目特点，提供服务方案。具体包括：①数据来源方案；②数据采集方案；③数据处理方案；④服务内容（包括但不限于：系统整体架构、具体服务内容，方案充分考虑采购单位实际情况和项目需求）；⑤数据质量保障；⑥难点及重点分析。 注：每具有一项得4分，最多得24分。在此基础上，方案中存在缺陷的，每1项中每有1处扣1分，每项最多扣4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实施计划及培训方案</w:t>
            </w:r>
          </w:p>
        </w:tc>
        <w:tc>
          <w:tcPr>
            <w:tcW w:type="dxa" w:w="2492"/>
          </w:tcPr>
          <w:p>
            <w:pPr>
              <w:pStyle w:val="null3"/>
            </w:pPr>
            <w:r>
              <w:rPr>
                <w:rFonts w:ascii="仿宋_GB2312" w:hAnsi="仿宋_GB2312" w:cs="仿宋_GB2312" w:eastAsia="仿宋_GB2312"/>
              </w:rPr>
              <w:t>根据本项目特点，提供实施计划及培训方案。具体包括：①实施计划安排；②培训方案（包括但不限于：培训方式、时间、地点、人员以及培训内容）。 注：每具有一项得5分，最多得10分。在此基础上，方案中存在缺陷的，每1项中每有1处扣1分，每项最多扣5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后续服务保障措施</w:t>
            </w:r>
          </w:p>
        </w:tc>
        <w:tc>
          <w:tcPr>
            <w:tcW w:type="dxa" w:w="2492"/>
          </w:tcPr>
          <w:p>
            <w:pPr>
              <w:pStyle w:val="null3"/>
            </w:pPr>
            <w:r>
              <w:rPr>
                <w:rFonts w:ascii="仿宋_GB2312" w:hAnsi="仿宋_GB2312" w:cs="仿宋_GB2312" w:eastAsia="仿宋_GB2312"/>
              </w:rPr>
              <w:t>根据本项目特点，提供后续服务保障措施。具体包括：①售后服务措施；②针对采购人的服务要求能够及时响应，并提供完整的服务承诺；③售后服务方案；④售后服务质量保障。 注：每具有一项得5分，最多得20分。在此基础上，方案中存在缺陷的，每1项中每有1处扣1分，每项最多扣5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安全保障及保密方案</w:t>
            </w:r>
          </w:p>
        </w:tc>
        <w:tc>
          <w:tcPr>
            <w:tcW w:type="dxa" w:w="2492"/>
          </w:tcPr>
          <w:p>
            <w:pPr>
              <w:pStyle w:val="null3"/>
            </w:pPr>
            <w:r>
              <w:rPr>
                <w:rFonts w:ascii="仿宋_GB2312" w:hAnsi="仿宋_GB2312" w:cs="仿宋_GB2312" w:eastAsia="仿宋_GB2312"/>
              </w:rPr>
              <w:t>根据本项目特点，提供安全保障及保密方案。具体包括：①数据安全保障制度；②保密管理制度；③数据安全技术；④应急预案及措施。 注：每具有一项得5分，最多得20分。在此基础上，方案中存在缺陷的，每1项中每有1处扣1分，每项最多扣5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拟投入项目团队人员配备情况，包括但不限于①团队人员配置清单；②岗位职责安排；③人员管理制度。 注：每具有一项得4分，最多得12分。在此基础上，方案中存在缺陷的，每1项中每有1处扣1分，每项最多扣4分，扣完为止。内容缺陷是指：非专门针对本项目或不适用项目特性的情形、内容不完整或缺少关键节点、套用其他项目方案、内容前后矛盾、涉及的规范或标准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供应商具有2022年9月以来（以合同签订时间为准）同类项目业绩，响应文件中提供合同复印件加盖供应商公章，每提供一个得1分，最高得4分。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满足磋商文件内容及技术要求且最后磋商报价最低的投标价为评标基准价，其价格分为满分。磋商报价得分=（评标基准价／最后磋商报价）×价格权值×100。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详见附件：供应商业绩.docx</w:t>
      </w:r>
    </w:p>
    <w:p>
      <w:pPr>
        <w:pStyle w:val="null3"/>
        <w:ind w:firstLine="960"/>
      </w:pPr>
      <w:r>
        <w:rPr>
          <w:rFonts w:ascii="仿宋_GB2312" w:hAnsi="仿宋_GB2312" w:cs="仿宋_GB2312" w:eastAsia="仿宋_GB2312"/>
        </w:rPr>
        <w:t>详见附件：资格证明文件格式.docx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