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版本号：DRZB2025-ZC-18420250919001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陕西省建设用地地块空间信息调查项目（二期）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DRZB2025-ZC-184</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陕西省建设用地地块空间信息调查项目（二期）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陕西省建设用地地块空间信息调查项目（二期）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陕西省建设用地地块空间信息调查项目（二期），具体内容详见磋商文件及采购需求。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 37 号 class 公馆 B 栋 1103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采购包1保证金金额：45,184.00元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相关收费标准“服务类”的取费标准规定结合市场价格自主报价。招标代理服务费由成交供应商向采购代理机构支付。 银行户名：陕西德仁招标有限公司开户银行：招商银行股份有限公司西安城南支行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陕西省建设用地地块空间信息调查项目（二期），具体内容详见磋商文件及采购需求。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陕西省建设用地地块空间信息调查（二期）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标的名称：陕西省建设用地地块空间信息调查（二期）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本项目主要是充分利用已有调查评估报告及数据资料，对全国建设用地土壤环境管理信息系统中陕西地块进行空间信息的梳理整理，识别空间信息缺失、空间信息不正确和不规范的地块；通过空间信息问题梳理排查、资料收集、人员访谈、现场测量、无人机航拍、遥感识别等方式开展地块空间信息的补充采集工作；开展地块空间信息的整合和审核工作；建设空间地理数据库，形成建设用地土壤污染一张图；将真实、完整、准确、规范的地块矢量文件和影像底图上传全国污建设用地土壤环境管理信息系统。</w:t>
            </w:r>
          </w:p>
          <w:p>
            <w:pPr>
              <w:pStyle w:val="null3"/>
              <w:jc w:val="both"/>
            </w:pPr>
            <w:r>
              <w:rPr>
                <w:rFonts w:ascii="仿宋_GB2312" w:hAnsi="仿宋_GB2312" w:cs="仿宋_GB2312" w:eastAsia="仿宋_GB2312"/>
                <w:sz w:val="21"/>
                <w:b/>
              </w:rPr>
              <w:t>二、采购内容和技术要求</w:t>
            </w:r>
          </w:p>
          <w:p>
            <w:pPr>
              <w:pStyle w:val="null3"/>
              <w:ind w:firstLine="480"/>
              <w:jc w:val="both"/>
            </w:pPr>
            <w:r>
              <w:rPr>
                <w:rFonts w:ascii="仿宋_GB2312" w:hAnsi="仿宋_GB2312" w:cs="仿宋_GB2312" w:eastAsia="仿宋_GB2312"/>
                <w:sz w:val="21"/>
              </w:rPr>
              <w:t>完成对咸阳市、宝鸡市、渭南市、铜川市、榆林市、汉中市、安康市7个市的地块空间信息矢量文件准确性、规范性、完整性进行梳理检查，筛选出边界矢量、属性信息、文件格式及命名等存在问题的地块，形成空间信息问题地块清单。对咸阳市、宝鸡市、渭南市、铜川市、榆林市、汉中市、安康市7个市边界矢量存在问题或缺失的地块，开展空间信息采集，形成准确、规范、完整的地块边界矢量数据。汇交形成咸阳市、宝鸡市、渭南市、铜川市、榆林市、汉中市、安康市7个市地块空间信息数据集，整合形成市、县两级地块空间信息“一张图”，并按地块类型分别整合形成超标地块图层、非超标地块图层。</w:t>
            </w:r>
          </w:p>
          <w:p>
            <w:pPr>
              <w:pStyle w:val="null3"/>
              <w:jc w:val="both"/>
            </w:pPr>
            <w:r>
              <w:rPr>
                <w:rFonts w:ascii="仿宋_GB2312" w:hAnsi="仿宋_GB2312" w:cs="仿宋_GB2312" w:eastAsia="仿宋_GB2312"/>
                <w:sz w:val="21"/>
                <w:b/>
              </w:rPr>
              <w:t>三、预期成果</w:t>
            </w:r>
          </w:p>
          <w:p>
            <w:pPr>
              <w:pStyle w:val="null3"/>
              <w:ind w:firstLine="480"/>
              <w:jc w:val="both"/>
            </w:pPr>
            <w:r>
              <w:rPr>
                <w:rFonts w:ascii="仿宋_GB2312" w:hAnsi="仿宋_GB2312" w:cs="仿宋_GB2312" w:eastAsia="仿宋_GB2312"/>
                <w:sz w:val="21"/>
              </w:rPr>
              <w:t>3.1、咸阳市、宝鸡市、渭南市、铜川市、榆林市、汉中市、安康市7个市地块准确的、规范的、完整的空间信息数据集；</w:t>
            </w:r>
          </w:p>
          <w:p>
            <w:pPr>
              <w:pStyle w:val="null3"/>
              <w:ind w:firstLine="480"/>
              <w:jc w:val="both"/>
            </w:pPr>
            <w:r>
              <w:rPr>
                <w:rFonts w:ascii="仿宋_GB2312" w:hAnsi="仿宋_GB2312" w:cs="仿宋_GB2312" w:eastAsia="仿宋_GB2312"/>
                <w:sz w:val="21"/>
              </w:rPr>
              <w:t>3.2、咸阳市、宝鸡市、渭南市、铜川市、榆林市、汉中市、安康市7个市的市、县两级地块空间信息“一张图”，按地块类型分别整合形成的超标地块图层、非超标地块图层。</w:t>
            </w:r>
          </w:p>
          <w:p>
            <w:pPr>
              <w:pStyle w:val="null3"/>
              <w:jc w:val="both"/>
            </w:pPr>
            <w:r>
              <w:rPr>
                <w:rFonts w:ascii="仿宋_GB2312" w:hAnsi="仿宋_GB2312" w:cs="仿宋_GB2312" w:eastAsia="仿宋_GB2312"/>
                <w:sz w:val="21"/>
                <w:b/>
              </w:rPr>
              <w:t>四、技术要求</w:t>
            </w:r>
          </w:p>
          <w:p>
            <w:pPr>
              <w:pStyle w:val="null3"/>
              <w:ind w:firstLine="480"/>
              <w:jc w:val="both"/>
            </w:pPr>
            <w:r>
              <w:rPr>
                <w:rFonts w:ascii="仿宋_GB2312" w:hAnsi="仿宋_GB2312" w:cs="仿宋_GB2312" w:eastAsia="仿宋_GB2312"/>
                <w:sz w:val="21"/>
              </w:rPr>
              <w:t>4.1、质量要求：符合国家建设用地土壤环境质量纳入国土空间规划“一张图”。</w:t>
            </w:r>
          </w:p>
          <w:p>
            <w:pPr>
              <w:pStyle w:val="null3"/>
              <w:jc w:val="both"/>
            </w:pPr>
            <w:r>
              <w:rPr>
                <w:rFonts w:ascii="仿宋_GB2312" w:hAnsi="仿宋_GB2312" w:cs="仿宋_GB2312" w:eastAsia="仿宋_GB2312"/>
                <w:sz w:val="21"/>
              </w:rPr>
              <w:t xml:space="preserve">   4.2、技术要求：地块空间信息数据符合全国建设用地土壤环境管理信息系统矢量文件格式要求。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密要求：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成交人在履行合同过程中所获得或接触到的任何内部数据资料，未经采购人同意，不得向第三方透露；成交人实施项目的一切程序都应符合国家安全、保密的有关规定和招标文件、投标文件、国家和行业有关规范、规程和标准。项目完成后，中标人须把采购人提供的所有资料、数据完整归还采购人，并不得留存任何复制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符合国家建设用地土壤环境质量纳入国土空间规划“一张图”要求，方可验收，具体以采购文件、响应文件及签订合同要求为准。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签订合同之日起10个工作日内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工作量完成后5个工作日内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安全保障及应急预案.docx 工作进度安排及质量保障措施.docx 供应商认为有必要说明的其他资料.docx 中小企业声明函 项目团队.docx 服务承诺.docx 资格证明文件.docx 服务偏离表.docx 响应文件封面 保密方案.docx 分项报价表.docx 设备配备.docx 项目负责人.docx 残疾人福利性单位声明函 总体服务方案.docx 业绩统计表.docx 标的清单 保证金缴纳凭证.docx 响应函 报价表.docx 商务偏离表.docx 投标人承诺书.docx 监狱企业的证明文件 项目理解及重难点分析.docx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安全保障及应急预案.docx 工作进度安排及质量保障措施.docx 供应商认为有必要说明的其他资料.docx 中小企业声明函 项目团队.docx 服务承诺.docx 资格证明文件.docx 服务偏离表.docx 响应文件封面 保密方案.docx 分项报价表.docx 设备配备.docx 项目负责人.docx 残疾人福利性单位声明函 总体服务方案.docx 业绩统计表.docx 标的清单 保证金缴纳凭证.docx 响应函 报价表.docx 商务偏离表.docx 投标人承诺书.docx 监狱企业的证明文件 项目理解及重难点分析.docx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一、评审内容 针对本项目提供完善的项目理解及重难点分析，包括但不限于：①项目背景、项目现状理解、项目需求分析、项目目标；②项目重点难点分析及应对措施。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①项目背景、项目现状理解、项目需求分析、项目目标：每完全满足一个评审标准得1分，满分3分。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提供完善的总体服务方案，包括但不限于：①整体工作目标及思路；②工作原则及技术路线；③整体工作步骤与计划；④项目工作主要内容及方案；⑤历史数据梳理分析及整理方案；⑥数据补充采集方案；⑦数据库的建设目标及建设方案。 二、评审标准 1、完整性：方案须全面，对评审内容中的各项要求有详细描述； 2、可实施性：切合本项目实际情况，实施步骤清晰、合理； 3、针对性：方案能够紧扣项目实际情况，内容科学合理。 三、赋分依据（满分21分） ①整体工作目标及思路：每完全满足一个评审标准得1分，满分3分。 ②工作原则及技术路线：每完全满足一个评审标准得1分，满分3分。 ③整体工作步骤与计划：每完全满足一个评审标准得1分，满分3分。 ④项目工作主要内容及方案：每完全满足一个评审标准得1分，满分3分。 ⑤历史数据梳理分析及整理方案：每完全满足一个评审标准得1分，满分3分。 ⑥数据补充采集方案：每完全满足一个评审标准得1分，满分3分。 ⑦数据库的建设目标及建设方案：每完全满足一个评审标准得1分，满分3分。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工作进度安排及质量保障措施</w:t>
            </w:r>
          </w:p>
        </w:tc>
        <w:tc>
          <w:tcPr>
            <w:tcW w:type="dxa" w:w="2492"/>
          </w:tcPr>
          <w:p>
            <w:pPr>
              <w:pStyle w:val="null3"/>
            </w:pPr>
            <w:r>
              <w:rPr>
                <w:rFonts w:ascii="仿宋_GB2312" w:hAnsi="仿宋_GB2312" w:cs="仿宋_GB2312" w:eastAsia="仿宋_GB2312"/>
              </w:rPr>
              <w:t>一、评审内容 针对本项目提供完善的工作进度安排及质量保障措施，包括但不限于：①工作计划及进度安排；②工作进度保障措施；③服务质量承诺；④质量保障措施。 二、评审标准 1、完整性：方案须全面，对评审内容中的各项要求有详细描述； 2、可实施性：切合本项目实际情况，实施步骤清晰、合理； 3、针对性：方案能够紧扣项目实际情况，内容科学合理。 三、赋分依据（满分12分） ①工作计划及进度安排：每完全满足一个评审标准得1分，满分3分。 ②工作进度保障措施：每完全满足一个评审标准得1分，满分3分。 ③服务质量承诺：每完全满足一个评审标准得1分，满分3分。 ④质量保障措施：每完全满足一个评审标准得1分，满分3分。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工作进度安排及质量保障措施.docx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一、评审因素 针对本项目提供的保密方案进行评审，包括但不限于 ①保密制度及方案；②服务人员保密要求及人员保密培训方案；③泄密责任追究及泄密补救措施。 二、评审标准 1、完整性：方案须全面，对评审内容中的各项要求有详细描述； 2、可实施性：切合本项目实际情况，实施步骤清晰、合理； 3、针对性：方案能够紧扣项目实际情况，内容科学合理。 三、赋分依据（满分9分） ①保密制度及方案：每完全满足一个评审标准得1分，满分3分。 ②服务人员保密要求及人员保密培训方案：每完全满足一个评审标准得1分，满分3分。 ③泄密责任追究及泄密补救措施：每完全满足一个评审标准得1分，满分3分。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安全保障及应急预案</w:t>
            </w:r>
          </w:p>
        </w:tc>
        <w:tc>
          <w:tcPr>
            <w:tcW w:type="dxa" w:w="2492"/>
          </w:tcPr>
          <w:p>
            <w:pPr>
              <w:pStyle w:val="null3"/>
            </w:pPr>
            <w:r>
              <w:rPr>
                <w:rFonts w:ascii="仿宋_GB2312" w:hAnsi="仿宋_GB2312" w:cs="仿宋_GB2312" w:eastAsia="仿宋_GB2312"/>
              </w:rPr>
              <w:t>一、评审因素 针对本项目提供的安全保障及应急预案进行评审，包括但不限于 ①资料、信息安全保障；②安全管理制度；③应对突发事件的处理措施。 二、评审标准 1、完整性：方案须全面，对评审内容中的各项要求有详细描述； 2、可实施性：切合本项目实际情况，实施步骤清晰、合理； 3、针对性：方案能够紧扣项目实际情况，内容科学合理。 三、赋分依据（满分9分） ①资料、信息安全保障：每完全满足一个评审标准得1分，满分3分。 ②安全管理制度：每完全满足一个评审标准得1分，满分3分。 ③应对突发事件的处理措施：每完全满足一个评审标准得1分，满分3分。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安全保障及应急预案.docx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针对本项目提供的服务承诺，包括但不限于：①服务及时响应的承诺；②项目质量保证的承诺；③后续协调及服务的承诺；④特殊情形问题处理的承诺等。 二、评审标准 1、完整性：方案须全面，对评审内容中的各项要求有详细描述； 2、可实施性：切合本项目实际情况，实施步骤清晰、合理； 3、针对性：方案能够紧扣项目实际情况，内容科学合理。 三、赋分依据（满分6分） ①服务及时响应的承诺：每完全满足一个评审标准得0.5分，满分1.5分。 ②项目质量保证的承诺：每完全满足一个评审标准得0.5分，满分1.5分。 ③后续协调及服务的承诺：每完全满足一个评审标准得0.5分，满分1.5分。 ④特殊情形问题处理的承诺等：每完全满足一个评审标准得0.5分，满分1.5分。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供应商具备调查核心专业硬件设备，包括：无人机、RTK、GPS终端、图形工作站，每具备一项得0.5分，最高得2分。 注：提供设备购置合同或发票复印件及仪器设备照片。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设备配备.docx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1、项目负责人具有环境相关或土壤类正高职称或博士及以上学位的得4分，具有环境相关或土壤类副高职称且硕士或以上学位的得2分，否则不得分。最高得4分。 注：提供身份证复印件、职称证书复印件、学位证书复印件、近半年内任意一个月的社保证明复印件，提供不全或未提供者不得分。 2、项目负责人应具备主持本项目的能力，提供2020年1月1日至今（以合同或任务书签订时间为准）承担过土壤污染状况调查类项目或土壤污染状况调查质量控制项目或建设用地土壤环境政策技术文件制定项目的得4分，否则不得分。 注：提供合同、任务书内容或成果报告材料，合同、任务书内容或成果报告材料应能体现项目负责人姓名。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成员（不含项目负责人）应具备生态环境类、土壤学、遥感、地理信息、地球化学等相关专业背景。具备上述专业副高及以上职称或博士学位的，每人得2分，具备上述专业中级职称或硕士学位的，每人得1分，最高得10分。 注：提供身份证复印件、职称证书复印件或学位证书复印件、近半年内任意一个月的社保证明复印件提供不全或未提供者不得分。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2020年至今主办或承接过的类似区域重点建设用地地块空间信息调查项目、土壤污染状况调查类项目、土壤污染状况调查质量控制项目、建设用地土壤环境政策技术文件制定项目业绩（时间以合同或任务书签订时间为准）。每提供一个项目得1分，最高得7分。 注：须提供合同或任务书关键页（包含签订合同双方的单位名称、项目名称、采购内容、双方签字盖章页及合同签订日期等）复印件，否则不得分。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详见附件：工作进度安排及质量保障措施.docx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详见附件：安全保障及应急预案.docx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详见附件：设备配备.docx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