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版本号：XBZB-2025-12320250919001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陕西省基层防灾能力提升工程项目（综合保障类）</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XBZB-2025-123</w:t>
      </w:r>
      <w:r>
        <w:br/>
      </w:r>
      <w:r>
        <w:br/>
      </w:r>
      <w:r>
        <w:br/>
      </w:r>
    </w:p>
    <w:p>
      <w:pPr>
        <w:pStyle w:val="null3"/>
        <w:jc w:val="center"/>
        <w:outlineLvl w:val="2"/>
      </w:pPr>
      <w:r>
        <w:rPr>
          <w:rFonts w:ascii="仿宋_GB2312" w:hAnsi="仿宋_GB2312" w:cs="仿宋_GB2312" w:eastAsia="仿宋_GB2312"/>
          <w:sz w:val="28"/>
          <w:b/>
        </w:rPr>
        <w:t>陕西省应急管理厅</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陕西省应急管理厅</w:t>
      </w:r>
      <w:r>
        <w:rPr>
          <w:rFonts w:ascii="仿宋_GB2312" w:hAnsi="仿宋_GB2312" w:cs="仿宋_GB2312" w:eastAsia="仿宋_GB2312"/>
        </w:rPr>
        <w:t>委托，拟对</w:t>
      </w:r>
      <w:r>
        <w:rPr>
          <w:rFonts w:ascii="仿宋_GB2312" w:hAnsi="仿宋_GB2312" w:cs="仿宋_GB2312" w:eastAsia="仿宋_GB2312"/>
        </w:rPr>
        <w:t>陕西省基层防灾能力提升工程项目（综合保障类）</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XBZB-2025-123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陕西省基层防灾能力提升工程项目（综合保障类）</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陕西省基层防灾能力提升，为陕西省市、县、乡三级专业救援队伍配备综合保障类等救援装备。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1、主体资格：供应商须提供合格有效的法人、其他组织等证明文件。</w:t>
      </w:r>
    </w:p>
    <w:p>
      <w:pPr>
        <w:pStyle w:val="null3"/>
      </w:pPr>
      <w:r>
        <w:rPr>
          <w:rFonts w:ascii="仿宋_GB2312" w:hAnsi="仿宋_GB2312" w:cs="仿宋_GB2312" w:eastAsia="仿宋_GB2312"/>
        </w:rPr>
        <w:t>2、法定代表人授权委托书：被授权人参加投标，须提供法定代表人授权委托书（附法定代表人、被授权人身份证复印件）；法定代表人直接参加投标，须提供法定代表人身份证明。</w:t>
      </w:r>
    </w:p>
    <w:p>
      <w:pPr>
        <w:pStyle w:val="null3"/>
      </w:pPr>
      <w:r>
        <w:rPr>
          <w:rFonts w:ascii="仿宋_GB2312" w:hAnsi="仿宋_GB2312" w:cs="仿宋_GB2312" w:eastAsia="仿宋_GB2312"/>
        </w:rPr>
        <w:t>3、财务状况报告：提供2024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4、社会保障资金缴纳证明：提供供应商开标前六个月至今已缴存的任意一个月的社会保障资金缴存证明或社保机构开具的社会保险参保缴费情况证明；依法不需要缴纳社会保障资金的应提供相关文件证明。</w:t>
      </w:r>
    </w:p>
    <w:p>
      <w:pPr>
        <w:pStyle w:val="null3"/>
      </w:pPr>
      <w:r>
        <w:rPr>
          <w:rFonts w:ascii="仿宋_GB2312" w:hAnsi="仿宋_GB2312" w:cs="仿宋_GB2312" w:eastAsia="仿宋_GB2312"/>
        </w:rPr>
        <w:t>5、税收缴纳证明：提供供应商开标前六个月至今已缴纳任意一个月完税凭证或税务机关开具的完税证明（企业所得税、增值税任意一种即可）；依法免税的应提供相关文件证明。</w:t>
      </w:r>
    </w:p>
    <w:p>
      <w:pPr>
        <w:pStyle w:val="null3"/>
      </w:pPr>
      <w:r>
        <w:rPr>
          <w:rFonts w:ascii="仿宋_GB2312" w:hAnsi="仿宋_GB2312" w:cs="仿宋_GB2312" w:eastAsia="仿宋_GB2312"/>
        </w:rPr>
        <w:t>6、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以现场信用记录查询结果为准）</w:t>
      </w:r>
    </w:p>
    <w:p>
      <w:pPr>
        <w:pStyle w:val="null3"/>
      </w:pPr>
      <w:r>
        <w:rPr>
          <w:rFonts w:ascii="仿宋_GB2312" w:hAnsi="仿宋_GB2312" w:cs="仿宋_GB2312" w:eastAsia="仿宋_GB2312"/>
        </w:rPr>
        <w:t>7、无重大违法记录声明：供应商参加政府采购活动前三年内在经营活动中没有重大违法记录的书面声明。</w:t>
      </w:r>
    </w:p>
    <w:p>
      <w:pPr>
        <w:pStyle w:val="null3"/>
      </w:pPr>
      <w:r>
        <w:rPr>
          <w:rFonts w:ascii="仿宋_GB2312" w:hAnsi="仿宋_GB2312" w:cs="仿宋_GB2312" w:eastAsia="仿宋_GB2312"/>
        </w:rPr>
        <w:t>8、承诺：提供具有履行本合同所必需的设备和专业技术能力的说明或承诺。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陕西省应急管理厅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029-61166710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陕西省西安市碑林区南关正街长安国际F座17层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王富敏、谢娜、王薇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029-85221302/13572926183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采购包1：15,876,000.00元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开户名称：西北国际（陕西）造价管理集团有限公司</w:t>
            </w:r>
          </w:p>
          <w:p>
            <w:pPr>
              <w:pStyle w:val="null3"/>
            </w:pPr>
            <w:r>
              <w:rPr>
                <w:rFonts w:ascii="仿宋_GB2312" w:hAnsi="仿宋_GB2312" w:cs="仿宋_GB2312" w:eastAsia="仿宋_GB2312"/>
              </w:rPr>
              <w:t>开户银行：中信银行西安南稍门支行</w:t>
            </w:r>
          </w:p>
          <w:p>
            <w:pPr>
              <w:pStyle w:val="null3"/>
            </w:pPr>
            <w:r>
              <w:rPr>
                <w:rFonts w:ascii="仿宋_GB2312" w:hAnsi="仿宋_GB2312" w:cs="仿宋_GB2312" w:eastAsia="仿宋_GB2312"/>
              </w:rPr>
              <w:t>银行账号：8111 7010 1230 0681 516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说明：乙方在与甲方签订合同前，乙方向甲方须缴纳履约保证金，履约保证金的金额为合同总金额的10%。 缴纳形式：合同签订前，乙方提供基本户开户行出具的保函或以转账形式缴纳至甲方指定账户。 履约保证金有效期：有效期至甲方最终验收合格、完成货物分发配发和培训之日。</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代理服务费收费标准：代理服务费参照《招标代理服务收费管理暂行办法》计价格[2002]1980号文、《国家发展改革委关于降低部分建设项目收费标准规范收费行为等有关问题的通知》,按货物类标准下浮20%计取。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陕西省应急管理厅</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陕西省应急管理厅</w:t>
      </w:r>
      <w:r>
        <w:rPr>
          <w:rFonts w:ascii="仿宋_GB2312" w:hAnsi="仿宋_GB2312" w:cs="仿宋_GB2312" w:eastAsia="仿宋_GB2312"/>
        </w:rPr>
        <w:t>负责解释。除上述招标文件内容，其他内容由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陕西省应急管理厅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联系人：王富敏、谢娜、王薇</w:t>
      </w:r>
    </w:p>
    <w:p>
      <w:pPr>
        <w:pStyle w:val="null3"/>
      </w:pPr>
      <w:r>
        <w:rPr>
          <w:rFonts w:ascii="仿宋_GB2312" w:hAnsi="仿宋_GB2312" w:cs="仿宋_GB2312" w:eastAsia="仿宋_GB2312"/>
        </w:rPr>
        <w:t>联系电话：029-85221302/13572926183</w:t>
      </w:r>
    </w:p>
    <w:p>
      <w:pPr>
        <w:pStyle w:val="null3"/>
      </w:pPr>
      <w:r>
        <w:rPr>
          <w:rFonts w:ascii="仿宋_GB2312" w:hAnsi="仿宋_GB2312" w:cs="仿宋_GB2312" w:eastAsia="仿宋_GB2312"/>
        </w:rPr>
        <w:t>地址：陕西省西安市碑林区南关正街长安国际F座17层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陕西省基层防灾能力提升，为陕西省市、县、乡三级专业救援队伍配备综合保障类等救援装备。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15,876,000.00</w:t>
      </w:r>
    </w:p>
    <w:p>
      <w:pPr>
        <w:pStyle w:val="null3"/>
      </w:pPr>
      <w:r>
        <w:rPr>
          <w:rFonts w:ascii="仿宋_GB2312" w:hAnsi="仿宋_GB2312" w:cs="仿宋_GB2312" w:eastAsia="仿宋_GB2312"/>
        </w:rPr>
        <w:t>采购包最高限价（元）: 15,876,000.00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大功率车载送风机、应急电源车、卫星便携站等综合保障类装备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14,777,600.00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技术支持人员、售后服务方案、质保期、教育培训、应急演练、备品备件及零部件配备、定期巡检等服务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1,098,400.00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标的名称：大功率车载送风机、应急电源车、卫星便携站等综合保障类装备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参数要求</w:t>
            </w:r>
          </w:p>
          <w:tbl>
            <w:tblPr>
              <w:tblBorders>
                <w:top w:val="none" w:color="000000" w:sz="4"/>
                <w:left w:val="none" w:color="000000" w:sz="4"/>
                <w:bottom w:val="none" w:color="000000" w:sz="4"/>
                <w:right w:val="none" w:color="000000" w:sz="4"/>
                <w:insideH w:val="none"/>
                <w:insideV w:val="none"/>
              </w:tblBorders>
            </w:tblPr>
            <w:tblGrid>
              <w:gridCol w:w="137"/>
              <w:gridCol w:w="219"/>
              <w:gridCol w:w="257"/>
              <w:gridCol w:w="1800"/>
              <w:gridCol w:w="140"/>
            </w:tblGrid>
            <w:tr>
              <w:tc>
                <w:tcPr>
                  <w:tcW w:type="dxa" w:w="13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1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装备类别</w:t>
                  </w:r>
                </w:p>
              </w:tc>
              <w:tc>
                <w:tcPr>
                  <w:tcW w:type="dxa" w:w="25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装备类型</w:t>
                  </w:r>
                </w:p>
              </w:tc>
              <w:tc>
                <w:tcPr>
                  <w:tcW w:type="dxa" w:w="180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基本性能参数要求</w:t>
                  </w:r>
                </w:p>
              </w:tc>
              <w:tc>
                <w:tcPr>
                  <w:tcW w:type="dxa" w:w="14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综合保障</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大功率车载送风机（核心产品）</w:t>
                  </w:r>
                </w:p>
              </w:tc>
              <w:tc>
                <w:tcPr>
                  <w:tcW w:type="dxa" w:w="18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用于地下管廊、隧道等密闭空间排气通风。</w:t>
                  </w:r>
                </w:p>
                <w:p>
                  <w:pPr>
                    <w:pStyle w:val="null3"/>
                    <w:jc w:val="left"/>
                  </w:pPr>
                  <w:r>
                    <w:rPr>
                      <w:rFonts w:ascii="仿宋_GB2312" w:hAnsi="仿宋_GB2312" w:cs="仿宋_GB2312" w:eastAsia="仿宋_GB2312"/>
                      <w:sz w:val="18"/>
                      <w:color w:val="000000"/>
                    </w:rPr>
                    <w:t>车辆要求：</w:t>
                  </w:r>
                </w:p>
                <w:p>
                  <w:pPr>
                    <w:pStyle w:val="null3"/>
                    <w:jc w:val="left"/>
                  </w:pPr>
                  <w:r>
                    <w:rPr>
                      <w:rFonts w:ascii="仿宋_GB2312" w:hAnsi="仿宋_GB2312" w:cs="仿宋_GB2312" w:eastAsia="仿宋_GB2312"/>
                      <w:sz w:val="18"/>
                      <w:color w:val="000000"/>
                    </w:rPr>
                    <w:t>1.采用4×2国六消防车底盘改装。发动机功率：≥200kW；符合中国国家机动车第 6 阶段排放标准。</w:t>
                  </w:r>
                </w:p>
                <w:p>
                  <w:pPr>
                    <w:pStyle w:val="null3"/>
                    <w:jc w:val="left"/>
                  </w:pPr>
                  <w:r>
                    <w:rPr>
                      <w:rFonts w:ascii="仿宋_GB2312" w:hAnsi="仿宋_GB2312" w:cs="仿宋_GB2312" w:eastAsia="仿宋_GB2312"/>
                      <w:sz w:val="18"/>
                      <w:color w:val="000000"/>
                    </w:rPr>
                    <w:t>2.时速≥95km/h。</w:t>
                  </w:r>
                </w:p>
                <w:p>
                  <w:pPr>
                    <w:pStyle w:val="null3"/>
                    <w:jc w:val="left"/>
                  </w:pPr>
                  <w:r>
                    <w:rPr>
                      <w:rFonts w:ascii="仿宋_GB2312" w:hAnsi="仿宋_GB2312" w:cs="仿宋_GB2312" w:eastAsia="仿宋_GB2312"/>
                      <w:sz w:val="18"/>
                      <w:color w:val="000000"/>
                    </w:rPr>
                    <w:t>3.驾驶室：平头单排原装驾驶室，乘员 2 人，主驾驶空气座椅；安装有三点式安全带；中控门锁，电动车窗，后视镜带电动+电热功能，无氟环保空调系统。</w:t>
                  </w:r>
                </w:p>
                <w:p>
                  <w:pPr>
                    <w:pStyle w:val="null3"/>
                    <w:jc w:val="left"/>
                  </w:pPr>
                  <w:r>
                    <w:rPr>
                      <w:rFonts w:ascii="仿宋_GB2312" w:hAnsi="仿宋_GB2312" w:cs="仿宋_GB2312" w:eastAsia="仿宋_GB2312"/>
                      <w:sz w:val="18"/>
                      <w:color w:val="000000"/>
                    </w:rPr>
                    <w:t>发电机要求：</w:t>
                  </w:r>
                </w:p>
                <w:p>
                  <w:pPr>
                    <w:pStyle w:val="null3"/>
                    <w:jc w:val="left"/>
                  </w:pPr>
                  <w:r>
                    <w:rPr>
                      <w:rFonts w:ascii="仿宋_GB2312" w:hAnsi="仿宋_GB2312" w:cs="仿宋_GB2312" w:eastAsia="仿宋_GB2312"/>
                      <w:sz w:val="18"/>
                      <w:color w:val="000000"/>
                    </w:rPr>
                    <w:t>1.发电机功率：≥120kW</w:t>
                  </w:r>
                </w:p>
                <w:p>
                  <w:pPr>
                    <w:pStyle w:val="null3"/>
                    <w:jc w:val="left"/>
                  </w:pPr>
                  <w:r>
                    <w:rPr>
                      <w:rFonts w:ascii="仿宋_GB2312" w:hAnsi="仿宋_GB2312" w:cs="仿宋_GB2312" w:eastAsia="仿宋_GB2312"/>
                      <w:sz w:val="18"/>
                      <w:color w:val="000000"/>
                    </w:rPr>
                    <w:t>2.驱动方式：底盘取力器驱动</w:t>
                  </w:r>
                </w:p>
                <w:p>
                  <w:pPr>
                    <w:pStyle w:val="null3"/>
                    <w:jc w:val="left"/>
                  </w:pPr>
                  <w:r>
                    <w:rPr>
                      <w:rFonts w:ascii="仿宋_GB2312" w:hAnsi="仿宋_GB2312" w:cs="仿宋_GB2312" w:eastAsia="仿宋_GB2312"/>
                      <w:sz w:val="18"/>
                      <w:color w:val="000000"/>
                    </w:rPr>
                    <w:t>3.额定电压： 220V/380V</w:t>
                  </w:r>
                </w:p>
                <w:p>
                  <w:pPr>
                    <w:pStyle w:val="null3"/>
                    <w:jc w:val="left"/>
                  </w:pPr>
                  <w:r>
                    <w:rPr>
                      <w:rFonts w:ascii="仿宋_GB2312" w:hAnsi="仿宋_GB2312" w:cs="仿宋_GB2312" w:eastAsia="仿宋_GB2312"/>
                      <w:sz w:val="18"/>
                      <w:color w:val="000000"/>
                    </w:rPr>
                    <w:t>4.安装位置：器材箱内。</w:t>
                  </w:r>
                </w:p>
                <w:p>
                  <w:pPr>
                    <w:pStyle w:val="null3"/>
                    <w:jc w:val="left"/>
                  </w:pPr>
                  <w:r>
                    <w:rPr>
                      <w:rFonts w:ascii="仿宋_GB2312" w:hAnsi="仿宋_GB2312" w:cs="仿宋_GB2312" w:eastAsia="仿宋_GB2312"/>
                      <w:sz w:val="18"/>
                      <w:color w:val="000000"/>
                    </w:rPr>
                    <w:t>排烟系统要求：</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1.排烟流量≥11万 m³/h；风机功率≥30kW，风速≥30m/s，风量≥30m</w:t>
                  </w:r>
                  <w:r>
                    <w:rPr>
                      <w:rFonts w:ascii="仿宋_GB2312" w:hAnsi="仿宋_GB2312" w:cs="仿宋_GB2312" w:eastAsia="仿宋_GB2312"/>
                      <w:sz w:val="18"/>
                      <w:color w:val="000000"/>
                      <w:vertAlign w:val="superscript"/>
                    </w:rPr>
                    <w:t>3</w:t>
                  </w:r>
                  <w:r>
                    <w:rPr>
                      <w:rFonts w:ascii="仿宋_GB2312" w:hAnsi="仿宋_GB2312" w:cs="仿宋_GB2312" w:eastAsia="仿宋_GB2312"/>
                      <w:sz w:val="18"/>
                      <w:color w:val="000000"/>
                    </w:rPr>
                    <w:t>/s。风机内筒配置消音装置、快速边接风管；</w:t>
                  </w:r>
                </w:p>
                <w:p>
                  <w:pPr>
                    <w:pStyle w:val="null3"/>
                    <w:jc w:val="left"/>
                  </w:pPr>
                  <w:r>
                    <w:rPr>
                      <w:rFonts w:ascii="仿宋_GB2312" w:hAnsi="仿宋_GB2312" w:cs="仿宋_GB2312" w:eastAsia="仿宋_GB2312"/>
                      <w:sz w:val="18"/>
                      <w:color w:val="000000"/>
                    </w:rPr>
                    <w:t>2.排烟系统喷嘴：</w:t>
                  </w:r>
                </w:p>
                <w:p>
                  <w:pPr>
                    <w:pStyle w:val="null3"/>
                    <w:jc w:val="left"/>
                  </w:pPr>
                  <w:r>
                    <w:rPr>
                      <w:rFonts w:ascii="仿宋_GB2312" w:hAnsi="仿宋_GB2312" w:cs="仿宋_GB2312" w:eastAsia="仿宋_GB2312"/>
                      <w:sz w:val="18"/>
                      <w:color w:val="000000"/>
                    </w:rPr>
                    <w:t>喷嘴数量</w:t>
                  </w:r>
                  <w:r>
                    <w:rPr>
                      <w:rFonts w:ascii="仿宋_GB2312" w:hAnsi="仿宋_GB2312" w:cs="仿宋_GB2312" w:eastAsia="仿宋_GB2312"/>
                      <w:sz w:val="18"/>
                      <w:color w:val="000000"/>
                    </w:rPr>
                    <w:t>≥50个（材质不锈钢），俯仰角度：-5°至+30°；水平回转角度：360°；水雾射程：≥55m；工作高度：4500mm；额定频率：50Hz。</w:t>
                  </w:r>
                </w:p>
              </w:tc>
              <w:tc>
                <w:tcPr>
                  <w:tcW w:type="dxa" w:w="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综合保障</w:t>
                  </w:r>
                  <w:r>
                    <w:rPr>
                      <w:rFonts w:ascii="仿宋_GB2312" w:hAnsi="仿宋_GB2312" w:cs="仿宋_GB2312" w:eastAsia="仿宋_GB2312"/>
                      <w:sz w:val="18"/>
                      <w:color w:val="000000"/>
                    </w:rPr>
                    <w:t>(通信指挥)</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卫星便携站（提供样品）</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卫星便携站须采用</w:t>
                  </w:r>
                  <w:r>
                    <w:rPr>
                      <w:rFonts w:ascii="仿宋_GB2312" w:hAnsi="仿宋_GB2312" w:cs="仿宋_GB2312" w:eastAsia="仿宋_GB2312"/>
                      <w:sz w:val="18"/>
                      <w:color w:val="000000"/>
                    </w:rPr>
                    <w:t>Ku频段一体化设计，可智能辅助对星或全自动对星，支持网管和业务双通道，内置调制解调器、无线路由、电源管理设备等，具备接入应急管理部卫星网管系统能力，采用智能辅助对星或全自动对星，支持网管和业务双通道，含轻型卫星便携站、高通量卫星便携站等，设备整体采用背负结构；</w:t>
                  </w:r>
                  <w:r>
                    <w:br/>
                  </w:r>
                  <w:r>
                    <w:rPr>
                      <w:rFonts w:ascii="仿宋_GB2312" w:hAnsi="仿宋_GB2312" w:cs="仿宋_GB2312" w:eastAsia="仿宋_GB2312"/>
                      <w:sz w:val="18"/>
                      <w:color w:val="000000"/>
                    </w:rPr>
                    <w:t>1.天线类型：卫星便携站一体化设计，包含卫星天线与底座、收发信一体机、调制解调器、天线控制单元、电机、电池等部件；</w:t>
                  </w:r>
                  <w:r>
                    <w:br/>
                  </w:r>
                  <w:r>
                    <w:rPr>
                      <w:rFonts w:ascii="仿宋_GB2312" w:hAnsi="仿宋_GB2312" w:cs="仿宋_GB2312" w:eastAsia="仿宋_GB2312"/>
                      <w:sz w:val="18"/>
                      <w:color w:val="000000"/>
                    </w:rPr>
                    <w:t>2.天线增益及其他功能参数：发射(Tx)≥37.3dBi@14.5GHz；接收≥35.9dBi@12.75GHz；工作频率：10.7～12.75GHz（接收）；13.75～14.5GHz（发射）；自动跟踪功能；支持单北斗定位模式，符合北斗规模应用要求；功放输出功率≥16W；对星时间：≤2min</w:t>
                  </w:r>
                  <w:r>
                    <w:br/>
                  </w:r>
                  <w:r>
                    <w:rPr>
                      <w:rFonts w:ascii="仿宋_GB2312" w:hAnsi="仿宋_GB2312" w:cs="仿宋_GB2312" w:eastAsia="仿宋_GB2312"/>
                      <w:sz w:val="18"/>
                      <w:color w:val="000000"/>
                    </w:rPr>
                    <w:t>3.通信能力：高通量模式支持上行≥5Mbps，下行≥10Mbps，专网模式支持上下行≥2Mbps；</w:t>
                  </w:r>
                  <w:r>
                    <w:br/>
                  </w:r>
                  <w:r>
                    <w:rPr>
                      <w:rFonts w:ascii="仿宋_GB2312" w:hAnsi="仿宋_GB2312" w:cs="仿宋_GB2312" w:eastAsia="仿宋_GB2312"/>
                      <w:sz w:val="18"/>
                      <w:color w:val="000000"/>
                    </w:rPr>
                    <w:t>4.设备尺寸≤530mm*360mm*140mm；防护等级≥IP66；设备净重≤9kg；</w:t>
                  </w:r>
                  <w:r>
                    <w:br/>
                  </w:r>
                  <w:r>
                    <w:rPr>
                      <w:rFonts w:ascii="仿宋_GB2312" w:hAnsi="仿宋_GB2312" w:cs="仿宋_GB2312" w:eastAsia="仿宋_GB2312"/>
                      <w:sz w:val="18"/>
                      <w:color w:val="000000"/>
                    </w:rPr>
                    <w:t>5.内置高通量卫星调制解调器；内置应急专网卫星调制解调器；一键切换双模通信模式</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综合保障</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应急电源车</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1.应急电源车电池能量≥2000Wh,输出电压≥220V,功率≥50kW。</w:t>
                  </w:r>
                  <w:r>
                    <w:br/>
                  </w:r>
                  <w:r>
                    <w:rPr>
                      <w:rFonts w:ascii="仿宋_GB2312" w:hAnsi="仿宋_GB2312" w:cs="仿宋_GB2312" w:eastAsia="仿宋_GB2312"/>
                      <w:sz w:val="18"/>
                      <w:color w:val="000000"/>
                    </w:rPr>
                    <w:t>2.发动机功率≥125kW</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外形尺寸</w:t>
                  </w:r>
                  <w:r>
                    <w:rPr>
                      <w:rFonts w:ascii="仿宋_GB2312" w:hAnsi="仿宋_GB2312" w:cs="仿宋_GB2312" w:eastAsia="仿宋_GB2312"/>
                      <w:sz w:val="18"/>
                      <w:color w:val="000000"/>
                    </w:rPr>
                    <w:t>(mm)：≥5500×1800×1900</w:t>
                  </w:r>
                </w:p>
                <w:p>
                  <w:pPr>
                    <w:pStyle w:val="null3"/>
                    <w:jc w:val="left"/>
                  </w:pPr>
                  <w:r>
                    <w:rPr>
                      <w:rFonts w:ascii="仿宋_GB2312" w:hAnsi="仿宋_GB2312" w:cs="仿宋_GB2312" w:eastAsia="仿宋_GB2312"/>
                      <w:sz w:val="18"/>
                      <w:color w:val="000000"/>
                    </w:rPr>
                    <w:t>4.接近角/离去角(°)：≥30/20；最高车速(Km/h)：≥100</w:t>
                  </w:r>
                </w:p>
                <w:p>
                  <w:pPr>
                    <w:pStyle w:val="null3"/>
                    <w:jc w:val="left"/>
                  </w:pPr>
                  <w:r>
                    <w:rPr>
                      <w:rFonts w:ascii="仿宋_GB2312" w:hAnsi="仿宋_GB2312" w:cs="仿宋_GB2312" w:eastAsia="仿宋_GB2312"/>
                      <w:sz w:val="18"/>
                      <w:color w:val="000000"/>
                    </w:rPr>
                    <w:t>5.轴距(mm)：≥3200</w:t>
                  </w:r>
                </w:p>
                <w:p>
                  <w:pPr>
                    <w:pStyle w:val="null3"/>
                    <w:jc w:val="left"/>
                  </w:pPr>
                  <w:r>
                    <w:rPr>
                      <w:rFonts w:ascii="仿宋_GB2312" w:hAnsi="仿宋_GB2312" w:cs="仿宋_GB2312" w:eastAsia="仿宋_GB2312"/>
                      <w:sz w:val="18"/>
                      <w:color w:val="000000"/>
                    </w:rPr>
                    <w:t>6.排量(ml)：≥2200；</w:t>
                  </w:r>
                  <w:r>
                    <w:br/>
                  </w:r>
                  <w:r>
                    <w:rPr>
                      <w:rFonts w:ascii="仿宋_GB2312" w:hAnsi="仿宋_GB2312" w:cs="仿宋_GB2312" w:eastAsia="仿宋_GB2312"/>
                      <w:sz w:val="18"/>
                      <w:color w:val="000000"/>
                    </w:rPr>
                    <w:t>7.支腿承载能力≥4T</w:t>
                  </w:r>
                  <w:r>
                    <w:br/>
                  </w:r>
                  <w:r>
                    <w:rPr>
                      <w:rFonts w:ascii="仿宋_GB2312" w:hAnsi="仿宋_GB2312" w:cs="仿宋_GB2312" w:eastAsia="仿宋_GB2312"/>
                      <w:sz w:val="18"/>
                      <w:color w:val="000000"/>
                    </w:rPr>
                    <w:t>8.配备升降照明灯升降高度≥1.5m</w:t>
                  </w:r>
                  <w:r>
                    <w:br/>
                  </w:r>
                  <w:r>
                    <w:rPr>
                      <w:rFonts w:ascii="仿宋_GB2312" w:hAnsi="仿宋_GB2312" w:cs="仿宋_GB2312" w:eastAsia="仿宋_GB2312"/>
                      <w:sz w:val="18"/>
                      <w:color w:val="000000"/>
                    </w:rPr>
                    <w:t>9.满足国VI排放标准。</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r>
          </w:tbl>
          <w:p/>
        </w:tc>
      </w:tr>
    </w:tbl>
    <w:p>
      <w:pPr>
        <w:pStyle w:val="null3"/>
      </w:pPr>
      <w:r>
        <w:rPr>
          <w:rFonts w:ascii="仿宋_GB2312" w:hAnsi="仿宋_GB2312" w:cs="仿宋_GB2312" w:eastAsia="仿宋_GB2312"/>
        </w:rPr>
        <w:t>标的名称：技术支持人员、售后服务方案、质保期、教育培训、应急演练、备品备件及零部件配备、定期巡检等服务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其他要求</w:t>
            </w:r>
          </w:p>
          <w:p>
            <w:pPr>
              <w:pStyle w:val="null3"/>
            </w:pPr>
            <w:r>
              <w:rPr>
                <w:rFonts w:ascii="仿宋_GB2312" w:hAnsi="仿宋_GB2312" w:cs="仿宋_GB2312" w:eastAsia="仿宋_GB2312"/>
                <w:sz w:val="18"/>
              </w:rPr>
              <w:t>1.按项目需求配备不少于2名技术支持人员、3名应急人员、5名售后服务人员及5名培训人员（拟派人员不限于投标人或所投产品生产厂家的人员，须提供人员技术能力的证明材料）。</w:t>
            </w:r>
          </w:p>
          <w:p>
            <w:pPr>
              <w:pStyle w:val="null3"/>
            </w:pPr>
            <w:r>
              <w:rPr>
                <w:rFonts w:ascii="仿宋_GB2312" w:hAnsi="仿宋_GB2312" w:cs="仿宋_GB2312" w:eastAsia="仿宋_GB2312"/>
                <w:sz w:val="18"/>
              </w:rPr>
              <w:t>2.货物交付至采购人指定地点后，须协助完成验收。</w:t>
            </w:r>
          </w:p>
          <w:p>
            <w:pPr>
              <w:pStyle w:val="null3"/>
            </w:pPr>
            <w:r>
              <w:rPr>
                <w:rFonts w:ascii="仿宋_GB2312" w:hAnsi="仿宋_GB2312" w:cs="仿宋_GB2312" w:eastAsia="仿宋_GB2312"/>
                <w:sz w:val="18"/>
              </w:rPr>
              <w:t>3.采购货物由供应商集中交付至采购人指定地点进行验收，验收完成后由供应商负责运送至采购人指定使用地点，不接受采用物流、快递等方式交付货物。</w:t>
            </w:r>
          </w:p>
          <w:p>
            <w:pPr>
              <w:pStyle w:val="null3"/>
            </w:pPr>
            <w:r>
              <w:rPr>
                <w:rFonts w:ascii="仿宋_GB2312" w:hAnsi="仿宋_GB2312" w:cs="仿宋_GB2312" w:eastAsia="仿宋_GB2312"/>
                <w:sz w:val="18"/>
              </w:rPr>
              <w:t>4.供应商需围绕产品使用功能、维护保养、应急处置等内容，组织不少于2次培训、2次应急演练。</w:t>
            </w:r>
          </w:p>
          <w:p>
            <w:pPr>
              <w:pStyle w:val="null3"/>
            </w:pPr>
            <w:r>
              <w:rPr>
                <w:rFonts w:ascii="仿宋_GB2312" w:hAnsi="仿宋_GB2312" w:cs="仿宋_GB2312" w:eastAsia="仿宋_GB2312"/>
                <w:sz w:val="18"/>
              </w:rPr>
              <w:t>5.质保期内，供应商须组织一年不少于2次的定期巡检。</w:t>
            </w:r>
          </w:p>
          <w:p>
            <w:pPr>
              <w:pStyle w:val="null3"/>
              <w:jc w:val="both"/>
            </w:pPr>
            <w:r>
              <w:rPr>
                <w:rFonts w:ascii="仿宋_GB2312" w:hAnsi="仿宋_GB2312" w:cs="仿宋_GB2312" w:eastAsia="仿宋_GB2312"/>
                <w:sz w:val="18"/>
              </w:rPr>
              <w:t>6.涉及车辆的，应完成车辆挂牌和保险缴纳及税费等事宜，由此产生的所有费用包含在本次投标报价中。</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合同签订之日起50日历日内完成供货并安装与调试。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合同签订后，采购人收到供应商提供的发票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货物安装调试完成并验收合格、完成分发配发，采购人收到供应商提供的发票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1.中标单位按照项目需求完成供货后，由采购人组织验收。 2.验收依据： (1) 合同文本； (2) 国家有关的验收标准及规范； (3) 采购文件； (4) 响应文件。 3.其他以签订的采购合同约定为准。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应符合《商品包装政府采购需求标准（试行）》的要求，包装应适应于远距离运输、防潮、防震、防锈和防野蛮装卸，以确保货物安全无损运抵指定地点。采购货物由供应商集中交付至采购人指定地点进行验收，验收完成后由供应商负责运送至采购人指定使用地点，不接受采用物流、快递等方式交付货物。</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以项目验收合格之日起，车辆类不少于5年，装备类不少于3年，服装类不少于1年。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①违约责任：（一）按《中华人民共和国民法典》中的相关条款执行。（二）未按合同或采购文件要求执行，或质量不能满足甲方要求的，甲方有权终止合同，甚至对乙方违约行为进行追究。 （三）若供应商在生产、运输货物过程中产生人员伤亡、财产损失等情况的，所造成的损失由供应商自行承担。（四）产品交付后因质量问题产生人员伤亡、财产损失等情况的，所造成的损失由供应商自行承担。 ②本合同在履行过程中发生的争议，由甲、乙双方当事人协商解决，协商不成的依法向甲方所在地法院起诉。 ③其他以签订的采购合同约定为准。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1.“第三章3.4商务要求”所列内容均为实质性条款。 2.本项目需提交样品（详见评标办法及技术参数与性能指标），样品密封，密封箱上不得标记货物的品牌或型号等信息（若样品过大无法密封，则须遮盖产品信息），密封条需标注单位名称、联系人及电话，密封口需加盖公章。样品需在投标截止时间前递交，递交地址：陕西省西安市碑林区南关正街长安国际F座17层。投标人如未按要求密封样品，代理公司有权拒绝接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供应商须提供合格有效的法人、其他组织等证明文件。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被授权人参加投标，须提供法定代表人授权委托书（附法定代表人、被授权人身份证复印件）；法定代表人直接参加投标，须提供法定代表人身份证明。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提供供应商开标前六个月至今已缴存的任意一个月的社会保障资金缴存证明或社保机构开具的社会保险参保缴费情况证明；依法不需要缴纳社会保障资金的应提供相关文件证明。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提供供应商开标前六个月至今已缴纳任意一个月完税凭证或税务机关开具的完税证明（企业所得税、增值税任意一种即可）；依法免税的应提供相关文件证明。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以现场信用记录查询结果为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的签字、盖章：投标文件上法定代表人或其委托代理人的签字齐全并加盖单位章；（2）投标文件格式：应符合招标文件要求；（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开标一览表 投标报价表.docx 标的清单 投标文件封面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投标文件内容：投标文件内容齐全、无遗漏。</w:t>
            </w:r>
          </w:p>
        </w:tc>
        <w:tc>
          <w:tcPr>
            <w:tcW w:type="dxa" w:w="1661"/>
          </w:tcPr>
          <w:p>
            <w:pPr>
              <w:pStyle w:val="null3"/>
            </w:pPr>
            <w:r>
              <w:rPr>
                <w:rFonts w:ascii="仿宋_GB2312" w:hAnsi="仿宋_GB2312" w:cs="仿宋_GB2312" w:eastAsia="仿宋_GB2312"/>
              </w:rPr>
              <w:t>实施方案.docx 商务条款偏离表.docx 其他.docx 技术规格响应表.docx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（1）对招标文件响应程度：实质性条款全部响应，不能有采购人不能接受的附加条件；（2）交货时间：应满足招标文件要求；（3) 交货地点：采购人指定地点；（4）投标有效期：应满足招标文件要求；（5）投标保证金：按招标文件要求提供。</w:t>
            </w:r>
          </w:p>
        </w:tc>
        <w:tc>
          <w:tcPr>
            <w:tcW w:type="dxa" w:w="1661"/>
          </w:tcPr>
          <w:p>
            <w:pPr>
              <w:pStyle w:val="null3"/>
            </w:pPr>
            <w:r>
              <w:rPr>
                <w:rFonts w:ascii="仿宋_GB2312" w:hAnsi="仿宋_GB2312" w:cs="仿宋_GB2312" w:eastAsia="仿宋_GB2312"/>
              </w:rPr>
              <w:t>投标报价表.docx 投标函 商务条款偏离表.docx 投标保证金.docx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w:t>
            </w:r>
          </w:p>
        </w:tc>
        <w:tc>
          <w:tcPr>
            <w:tcW w:type="dxa" w:w="2492"/>
          </w:tcPr>
          <w:p>
            <w:pPr>
              <w:pStyle w:val="null3"/>
            </w:pPr>
            <w:r>
              <w:rPr>
                <w:rFonts w:ascii="仿宋_GB2312" w:hAnsi="仿宋_GB2312" w:cs="仿宋_GB2312" w:eastAsia="仿宋_GB2312"/>
              </w:rPr>
              <w:t>依据投标人提供所投产品技术指标、参数、性能及产品参数响应表等内容，根据响应情况进行赋分，满分25分。“▲”项2项每负偏离一项扣2分，非“▲”项21项每负偏离一项扣1分，扣完为止。 注：“▲”项必须提供佐证材料，如无相应证明材料的视为负偏离；证明材料不限于产品说明书或官网截图或第三方检测机构出具的检测报告等技术资料，产品技术资料需与投标产品型号一致。</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技术规格响应表.docx</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具有2022年9月至今（时间以合同签订为准）的核心产品业绩，每提供一份得1分，满分3分。 注：业绩不限于投标人或所投产品生产厂家的业绩，提供的业绩证明资料须包含合同协议书。缺项视为无效业绩。</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供应商提供针对本项目的理解分析，内容主要包括①工作背景②形势分析③总体思路等。 A.以上内容完善详细、合理可行、针对性强，得3分； B.以上内容简单笼统，缺乏针对性，得1分； C.其他或未提供不得分。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根据招标内容和要求提供产品供货方案，内容主要包括①总体供货方案阐述②进度计划安排及保障措施③成品运输、协助验收等。根据供货计划安排的合理性、与本项目实际情况的符合性，进度保证措施的可靠性、可实施性进行评分。 以上内容完善详细、合理可行的，每项最高得2分，每存在一条缺项扣2分，存在一条缺陷扣1分，扣完为止。其他或未提供不得分。 （本项所称“缺陷”是指内容不完整或缺少关键点；不适用本项目特性、套用其他项目内容；对同一问题前后表述矛盾；存在逻辑漏洞、科学原理或常识错误；不利于本项目目标的实现等任意一种情形）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所投产品来源渠道正规，确保供应的产品无假货、无产权纠纷。供应商提供所投产品合法来源渠道证明文件（包括但不限于：产品制造商授权或销售协议或代理协议等证明材料），每提供一个产品的证明材料得1分，本项最高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质量、安全保障措施及承诺</w:t>
            </w:r>
          </w:p>
        </w:tc>
        <w:tc>
          <w:tcPr>
            <w:tcW w:type="dxa" w:w="2492"/>
          </w:tcPr>
          <w:p>
            <w:pPr>
              <w:pStyle w:val="null3"/>
            </w:pPr>
            <w:r>
              <w:rPr>
                <w:rFonts w:ascii="仿宋_GB2312" w:hAnsi="仿宋_GB2312" w:cs="仿宋_GB2312" w:eastAsia="仿宋_GB2312"/>
              </w:rPr>
              <w:t>投标人根据招标内容和要求提供质量、安全保障措施及承诺。 A.质量、安全保障措施及承诺内容完善，针对性强，得5分； B.质量、安全保障措施及承诺内容较简单，有一定针对性，得3分； C.质量、安全保障措施及承诺简单笼统，缺乏针对性，得1分； D.其他或未提供不得分。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针对本项目的应急方案，内容主要包括①供货期应急方案（包括因质量问题退换货）；②救援抢险中能提供的设备及技术支持保障；③救援抢险中货物备品备件保障；④救援抢险中技术人员的保障（各类技术支持人员2名、应急人员3名，拟派人员不限于投标人或所投产品生产厂家的人员，须提供人员技术能力的证明材料）等。 以上内容完善详细、合理可行的，每项最高得1.5分，每存在一条缺项扣1.5分，存在一条缺陷扣1分，扣完为止。其他或未提供不得分。 （本项所称“缺陷”是指内容不完整或缺少关键点；不适用本项目特性、套用其他项目内容；对同一问题前后表述矛盾；存在逻辑漏洞、科学原理或常识错误；不利于本项目目标的实现等任意一种情形）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提供针对本项目的售后服务方案，内容主要包括①故障响应时间及故障的检修和排除；②售后服务响应机制；③服务便利性和及时性；④定期回访、保养措施；⑤拟投入售后服务人员配备情况等（售后人员5名，拟派人员不限于投标人或所投产品生产厂家的人员，须提供人员技术能力的证明材料）。 以上内容完善详细、合理可行的，每项最高得1.2分，每存在一条缺项扣1.2分，存在一条缺陷扣1分，扣完为止。其他或未提供不得分。 （本项所称“缺陷”是指内容不完整或缺少关键点；不适用本项目特性、套用其他项目内容；对同一问题前后表述矛盾；存在逻辑漏洞、科学原理或常识错误；不利于本项目目标的实现等任意一种情形）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依据投标人针对本项目的技术培训方案进行评分，方案内容至少包括①培训内容②培训方式③培训计划④培训团队人员配置及培训讲师能力水平证明材料情况（各类培训人员5名，拟派人员不限于投标人或所投产品生产厂家的人员，须提供人员技术能力的证明材料）等。 以上内容完善详细、合理可行的，每项最高得1.5分，每存在一条缺项扣1.5分，存在一条缺陷扣1分，扣完为止。其他或未提供不得分。 （本项所称“缺陷”是指内容不完整或缺少关键点；不适用本项目特性、套用其他项目内容；对同一问题前后表述矛盾；存在逻辑漏洞、科学原理或常识错误；不利于本项目目标的实现等任意一种情形）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优化服务方案</w:t>
            </w:r>
          </w:p>
        </w:tc>
        <w:tc>
          <w:tcPr>
            <w:tcW w:type="dxa" w:w="2492"/>
          </w:tcPr>
          <w:p>
            <w:pPr>
              <w:pStyle w:val="null3"/>
            </w:pPr>
            <w:r>
              <w:rPr>
                <w:rFonts w:ascii="仿宋_GB2312" w:hAnsi="仿宋_GB2312" w:cs="仿宋_GB2312" w:eastAsia="仿宋_GB2312"/>
              </w:rPr>
              <w:t>在本次投标货物及方案的基础上进行优化和完善（内容包括但不限于：备品备件及零部件配备、定期巡检、技术支持人员、售后服务方案、质保期、教育培训、应急演练等内容。投标人需综合考虑本次优化服务方案所产生的相关费用，需包含在投标报价中）。 A.优化方案内容全面详细、阐述条理清晰，符合本项目实际采购需求，优化方向有针对性，能有效保障项目实施，得5分。 B.优化方案内容较简单，阐述条理较清晰，符合本项目实际采购需求，优化方向缺乏针对性，得3分； C.优化方案内容简单笼统，符合本项目实际采购需求，优化方向缺乏针对性，得1分； D.其他或未提供不得分。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供应商按招标文件要求提供样品，评标委员会综合评审。（共1个产品，本项最高2分） （1）样品结构完整、材质较好，对使用环境的适应性及实用性强，无操作安全隐患或影响使用性能的安全隐患，便于携带和转运，完全满足应急救援实战需要，得2分； （2）样品关键部件结构基本完整，材质一般，对使用环境的适应性及实用性一般，无操作安全隐患或影响使用性能的安全隐患，比较便于携带和转运，但部分非关键部件不完全满足应急救援实战需要得1分； （3）样品关键部件结构基本完整，材质一般，关键部件适应性及实用性较差，存在操作安全隐患或影响使用性能的安全隐患，不便于携带和转运，得0.5分。 （注：提供样品的货物为卫星便携站，每项货物满分2分。不提供或其他不得分。）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其他.docx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低有效报价得30分。以本次最低有效投标报价为基准价，投标报价得分=(基准价/投标报价)×30。注：对于非专门面向中小企业的项目，对小型和微型企业、监狱企业、福利企业等产品的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详见附件：投标报价表.docx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详见附件：技术规格响应表.docx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