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版本号：SCZA2025-CS-2224-00120250904001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城市古树名木保护政府购买服务项目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SCZA2025-CS-2224-001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城市古树名木保护政府购买服务项目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SCZA2025-CS-2224-001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城市古树名木保护政府购买服务项目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市古树名木保护政府购买服务项目。组织第三方机构，赴广东等省份进行调研，学习先进经验；对全省城市古树名木保护情况进行实地调查，按照国务院《古树名木保护条例》、《陕西省古树名木保护条例》等相关要求,重点围绕保护措施落实、资源利用等方面，开展调研评估。督促各地明确保护责任、加大资金投入、落实保护措施、加强资源利用，着力提升城市古树名木保护管理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李湘希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银行账号：103661182760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古树名木保护政府购买服务项目。组织第三方机构，赴广东等省份进行调研，学习先进经验；对全省城市古树名木保护情况进行实地调查，按照国务院《古树名木保护条例》、《陕西省古树名木保护条例》等相关要求,重点围绕保护措施落实、资源利用等方面，开展调研评估。督促各地明确保护责任、加大资金投入、落实保护措施、加强资源利用，着力提升城市古树名木保护管理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全省城市古树名木保护工作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标的名称：全省城市古树名木保护工作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城市古树名木保护政府购买服务项目。组织第三方机构，赴广东等省份进行调研，学习先进经验；对全省城市古树名木保护情况进行实地调查，按照国务院《古树名木保护条例》、《陕西省古树名木保护条例》等相关要求,重点围绕保护措施落实、资源利用等方面，开展调研评估。督促各地明确保护责任、加大资金投入、落实保护措施、加强资源利用，着力提升城市古树名木保护管理水平。</w:t>
            </w:r>
            <w:r>
              <w:br/>
            </w:r>
            <w:r>
              <w:rPr>
                <w:rFonts w:ascii="仿宋_GB2312" w:hAnsi="仿宋_GB2312" w:cs="仿宋_GB2312" w:eastAsia="仿宋_GB2312"/>
              </w:rPr>
              <w:t xml:space="preserve"> 一是摸清全省城市古树名木保护工作现状，形成评估报告；</w:t>
            </w:r>
            <w:r>
              <w:br/>
            </w:r>
            <w:r>
              <w:rPr>
                <w:rFonts w:ascii="仿宋_GB2312" w:hAnsi="仿宋_GB2312" w:cs="仿宋_GB2312" w:eastAsia="仿宋_GB2312"/>
              </w:rPr>
              <w:t xml:space="preserve"> 二是学习借鉴省外经验做法，统一制定全省城市古树名木保护标志；</w:t>
            </w:r>
            <w:r>
              <w:br/>
            </w:r>
            <w:r>
              <w:rPr>
                <w:rFonts w:ascii="仿宋_GB2312" w:hAnsi="仿宋_GB2312" w:cs="仿宋_GB2312" w:eastAsia="仿宋_GB2312"/>
              </w:rPr>
              <w:t xml:space="preserve"> 三是建立城市古树名木数字化档案，率先对128株1000年以上古树（特级保护）、59株名木（一级保护）实现纸质档案数字化，实施二维码管理；</w:t>
            </w:r>
            <w:r>
              <w:br/>
            </w:r>
            <w:r>
              <w:rPr>
                <w:rFonts w:ascii="仿宋_GB2312" w:hAnsi="仿宋_GB2312" w:cs="仿宋_GB2312" w:eastAsia="仿宋_GB2312"/>
              </w:rPr>
              <w:t xml:space="preserve"> 四是对128株1000年以上古树、59株名木，完善“一树一策”保护台账，并指导各地制定“一树一策”保护方案，讲好古树故事；</w:t>
            </w:r>
            <w:r>
              <w:br/>
            </w:r>
            <w:r>
              <w:rPr>
                <w:rFonts w:ascii="仿宋_GB2312" w:hAnsi="仿宋_GB2312" w:cs="仿宋_GB2312" w:eastAsia="仿宋_GB2312"/>
              </w:rPr>
              <w:t xml:space="preserve"> 五是指导编制《城市古树名木养护技术规范》，持续提升保护管理水平。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编制完成后，获得陕西省住房和城乡建设厅审定后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1.拟派项目负责人具备职称证，中级职称证书得2分，高级职称证书得4分，满分4 分。（多个中级职称仅计2分） 2.根据供应商的团队人员配备情况进行评审： （1）团队组织架构、人员构成及分工合理，岗位设置明确得6分； （2）团队组织架构、人员构成及分工较为合理，岗位设置比较明确得4分； （3）团队组织架构、人员构成及分工基本合理，岗位设置基本明确得2分；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2. 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提供2021年至今类似项目业绩，响应文件中附有合同作为证明文件，每提供一个业绩证明材料计2分，满分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的质量要求、进度要求、时限要求、项目后期服务等做出承诺：（1）承诺完整详细、描述清晰、内容科学合理、可实施性强的，得10分；（2）承诺较完整但简单、内容合理性及可实施性一般的，得6分；（3）承诺内容有缺失，影响到项目实施的，得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