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45CA5">
      <w:pPr>
        <w:pStyle w:val="3"/>
        <w:spacing w:line="360" w:lineRule="auto"/>
        <w:rPr>
          <w:rFonts w:ascii="仿宋" w:hAnsi="仿宋" w:eastAsia="仿宋" w:cs="仿宋"/>
          <w:sz w:val="24"/>
        </w:rPr>
      </w:pPr>
      <w:bookmarkStart w:id="0" w:name="_Toc68590979"/>
      <w:r>
        <w:rPr>
          <w:rStyle w:val="6"/>
          <w:rFonts w:hint="eastAsia" w:ascii="仿宋" w:hAnsi="仿宋" w:eastAsia="仿宋" w:cs="仿宋"/>
          <w:sz w:val="36"/>
          <w:szCs w:val="36"/>
        </w:rPr>
        <w:t xml:space="preserve">第四章  </w:t>
      </w:r>
      <w:bookmarkEnd w:id="0"/>
      <w:r>
        <w:rPr>
          <w:rStyle w:val="6"/>
          <w:rFonts w:hint="eastAsia" w:ascii="仿宋" w:hAnsi="仿宋" w:eastAsia="仿宋" w:cs="仿宋"/>
          <w:sz w:val="36"/>
          <w:szCs w:val="36"/>
        </w:rPr>
        <w:t>拟签订的合同文本</w:t>
      </w:r>
    </w:p>
    <w:p w14:paraId="75765AB3">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5459B153">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64441EA3">
      <w:pPr>
        <w:adjustRightInd w:val="0"/>
        <w:snapToGrid w:val="0"/>
        <w:spacing w:line="360" w:lineRule="auto"/>
        <w:ind w:firstLine="480" w:firstLineChars="200"/>
        <w:rPr>
          <w:rFonts w:ascii="仿宋" w:hAnsi="仿宋" w:eastAsia="仿宋" w:cs="仿宋"/>
          <w:sz w:val="24"/>
        </w:rPr>
      </w:pPr>
      <w:bookmarkStart w:id="1" w:name="_Toc19515384"/>
      <w:r>
        <w:rPr>
          <w:rFonts w:hint="eastAsia" w:ascii="仿宋" w:hAnsi="仿宋" w:eastAsia="仿宋" w:cs="仿宋"/>
          <w:sz w:val="24"/>
        </w:rPr>
        <w:t>一、合同内容（标的、数量、质量等）</w:t>
      </w:r>
      <w:bookmarkEnd w:id="1"/>
      <w:r>
        <w:rPr>
          <w:rFonts w:hint="eastAsia" w:ascii="仿宋" w:hAnsi="仿宋" w:eastAsia="仿宋" w:cs="仿宋"/>
          <w:sz w:val="24"/>
        </w:rPr>
        <w:t>：</w:t>
      </w:r>
    </w:p>
    <w:p w14:paraId="06376C66">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本政府采购合同所附下列文件是构成本政府采购合同不可分割的部分：</w:t>
      </w:r>
    </w:p>
    <w:p w14:paraId="50A7222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1.磋商文件（招标文件编号</w:t>
      </w:r>
      <w:r>
        <w:rPr>
          <w:rFonts w:hint="eastAsia" w:ascii="仿宋" w:hAnsi="仿宋" w:eastAsia="仿宋" w:cs="仿宋"/>
          <w:bCs/>
          <w:sz w:val="24"/>
          <w:u w:val="none"/>
        </w:rPr>
        <w:t xml:space="preserve">           </w:t>
      </w:r>
      <w:r>
        <w:rPr>
          <w:rFonts w:hint="eastAsia" w:ascii="仿宋" w:hAnsi="仿宋" w:eastAsia="仿宋" w:cs="仿宋"/>
          <w:bCs/>
          <w:sz w:val="24"/>
        </w:rPr>
        <w:t>）；</w:t>
      </w:r>
    </w:p>
    <w:p w14:paraId="5C2240D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2.磋商文件的公告；</w:t>
      </w:r>
    </w:p>
    <w:p w14:paraId="2B3D99B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3.成交供应商提交的磋商响应文件；</w:t>
      </w:r>
      <w:bookmarkStart w:id="11" w:name="_GoBack"/>
      <w:bookmarkEnd w:id="11"/>
    </w:p>
    <w:p w14:paraId="77AAD07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4.政府采购合同条款；</w:t>
      </w:r>
    </w:p>
    <w:p w14:paraId="57C1DB5B">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5.成交通知书；</w:t>
      </w:r>
    </w:p>
    <w:p w14:paraId="0620882A">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6.政府采购合同的其它附件。</w:t>
      </w:r>
    </w:p>
    <w:p w14:paraId="5CF5BF6C">
      <w:pPr>
        <w:adjustRightInd w:val="0"/>
        <w:snapToGrid w:val="0"/>
        <w:spacing w:line="360" w:lineRule="auto"/>
        <w:ind w:firstLine="480" w:firstLineChars="200"/>
        <w:rPr>
          <w:rFonts w:ascii="仿宋" w:hAnsi="仿宋" w:eastAsia="仿宋" w:cs="仿宋"/>
          <w:sz w:val="24"/>
        </w:rPr>
      </w:pPr>
      <w:bookmarkStart w:id="2" w:name="_Toc19515385"/>
      <w:r>
        <w:rPr>
          <w:rFonts w:hint="eastAsia" w:ascii="仿宋" w:hAnsi="仿宋" w:eastAsia="仿宋" w:cs="仿宋"/>
          <w:sz w:val="24"/>
        </w:rPr>
        <w:t>二、合同价款</w:t>
      </w:r>
      <w:bookmarkEnd w:id="2"/>
    </w:p>
    <w:p w14:paraId="2A77EFC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1、合同总价：</w:t>
      </w:r>
    </w:p>
    <w:p w14:paraId="174B04C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2、合同总价包括：</w:t>
      </w:r>
    </w:p>
    <w:p w14:paraId="38C9207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3、合同为固定总价合同，不受市场价变化的影响。</w:t>
      </w:r>
    </w:p>
    <w:p w14:paraId="23D16DFD">
      <w:pPr>
        <w:adjustRightInd w:val="0"/>
        <w:snapToGrid w:val="0"/>
        <w:spacing w:line="360" w:lineRule="auto"/>
        <w:ind w:firstLine="480" w:firstLineChars="200"/>
        <w:rPr>
          <w:rFonts w:ascii="仿宋" w:hAnsi="仿宋" w:eastAsia="仿宋" w:cs="仿宋"/>
          <w:sz w:val="24"/>
        </w:rPr>
      </w:pPr>
      <w:bookmarkStart w:id="3" w:name="_Toc19515386"/>
      <w:r>
        <w:rPr>
          <w:rFonts w:hint="eastAsia" w:ascii="仿宋" w:hAnsi="仿宋" w:eastAsia="仿宋" w:cs="仿宋"/>
          <w:sz w:val="24"/>
        </w:rPr>
        <w:t>三、合同结算</w:t>
      </w:r>
      <w:bookmarkEnd w:id="3"/>
    </w:p>
    <w:p w14:paraId="3FED58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1、付款比</w:t>
      </w:r>
      <w:r>
        <w:rPr>
          <w:rFonts w:hint="eastAsia" w:ascii="仿宋" w:hAnsi="仿宋" w:eastAsia="仿宋" w:cs="仿宋"/>
          <w:sz w:val="24"/>
        </w:rPr>
        <w:t>例：</w:t>
      </w:r>
    </w:p>
    <w:p w14:paraId="22A52E2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489B5E4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180B253D">
      <w:pPr>
        <w:adjustRightInd w:val="0"/>
        <w:snapToGrid w:val="0"/>
        <w:spacing w:line="360" w:lineRule="auto"/>
        <w:ind w:firstLine="480" w:firstLineChars="200"/>
        <w:rPr>
          <w:rFonts w:ascii="仿宋" w:hAnsi="仿宋" w:eastAsia="仿宋" w:cs="仿宋"/>
          <w:sz w:val="24"/>
          <w:highlight w:val="none"/>
        </w:rPr>
      </w:pPr>
      <w:bookmarkStart w:id="4" w:name="_Toc19515387"/>
      <w:r>
        <w:rPr>
          <w:rFonts w:hint="eastAsia" w:ascii="仿宋" w:hAnsi="仿宋" w:eastAsia="仿宋" w:cs="仿宋"/>
          <w:sz w:val="24"/>
          <w:highlight w:val="none"/>
        </w:rPr>
        <w:t>四、服务期、地点及方式</w:t>
      </w:r>
      <w:bookmarkEnd w:id="4"/>
      <w:r>
        <w:rPr>
          <w:rFonts w:hint="eastAsia" w:ascii="仿宋" w:hAnsi="仿宋" w:eastAsia="仿宋" w:cs="仿宋"/>
          <w:sz w:val="24"/>
          <w:highlight w:val="none"/>
        </w:rPr>
        <w:t>：</w:t>
      </w:r>
    </w:p>
    <w:p w14:paraId="011228A6">
      <w:pPr>
        <w:adjustRightInd w:val="0"/>
        <w:snapToGrid w:val="0"/>
        <w:spacing w:line="360" w:lineRule="auto"/>
        <w:ind w:firstLine="480" w:firstLineChars="200"/>
        <w:rPr>
          <w:rFonts w:hint="default" w:ascii="仿宋" w:hAnsi="仿宋" w:eastAsia="仿宋" w:cs="仿宋"/>
          <w:sz w:val="24"/>
          <w:highlight w:val="none"/>
          <w:lang w:val="en-US" w:eastAsia="zh-CN"/>
        </w:rPr>
      </w:pPr>
      <w:r>
        <w:rPr>
          <w:rFonts w:hint="eastAsia" w:ascii="仿宋" w:hAnsi="仿宋" w:eastAsia="仿宋" w:cs="仿宋"/>
          <w:sz w:val="24"/>
          <w:highlight w:val="none"/>
        </w:rPr>
        <w:t>1、服务期：</w:t>
      </w:r>
      <w:r>
        <w:rPr>
          <w:rFonts w:hint="eastAsia" w:ascii="仿宋" w:hAnsi="仿宋" w:eastAsia="仿宋" w:cs="仿宋"/>
          <w:sz w:val="24"/>
          <w:highlight w:val="none"/>
          <w:lang w:val="en-US" w:eastAsia="zh-CN"/>
        </w:rPr>
        <w:t>详见磋商文件要求</w:t>
      </w:r>
    </w:p>
    <w:p w14:paraId="47977A6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2、地点：采购人指定地点。</w:t>
      </w:r>
    </w:p>
    <w:p w14:paraId="669F73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3、方式：采购人指定方式。</w:t>
      </w:r>
    </w:p>
    <w:p w14:paraId="56C12EC2">
      <w:pPr>
        <w:adjustRightInd w:val="0"/>
        <w:snapToGrid w:val="0"/>
        <w:spacing w:line="360" w:lineRule="auto"/>
        <w:ind w:firstLine="480" w:firstLineChars="200"/>
        <w:rPr>
          <w:rFonts w:ascii="仿宋" w:hAnsi="仿宋" w:eastAsia="仿宋" w:cs="仿宋"/>
          <w:sz w:val="24"/>
        </w:rPr>
      </w:pPr>
      <w:bookmarkStart w:id="5" w:name="_Toc19515390"/>
      <w:r>
        <w:rPr>
          <w:rFonts w:hint="eastAsia" w:ascii="仿宋" w:hAnsi="仿宋" w:eastAsia="仿宋" w:cs="仿宋"/>
          <w:sz w:val="24"/>
        </w:rPr>
        <w:t>五、技术服务</w:t>
      </w:r>
      <w:bookmarkEnd w:id="5"/>
    </w:p>
    <w:p w14:paraId="0CA903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14:paraId="5CEF605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14:paraId="27DBF46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3、售后服务</w:t>
      </w:r>
    </w:p>
    <w:p w14:paraId="5345905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3-1、乙方在接到甲方电话通知后在</w:t>
      </w:r>
      <w:r>
        <w:rPr>
          <w:rFonts w:hint="eastAsia" w:ascii="仿宋" w:hAnsi="仿宋" w:eastAsia="仿宋" w:cs="仿宋"/>
          <w:sz w:val="24"/>
          <w:u w:val="single"/>
        </w:rPr>
        <w:t xml:space="preserve"> 4 </w:t>
      </w:r>
      <w:r>
        <w:rPr>
          <w:rFonts w:hint="eastAsia" w:ascii="仿宋" w:hAnsi="仿宋" w:eastAsia="仿宋" w:cs="仿宋"/>
          <w:sz w:val="24"/>
        </w:rPr>
        <w:t>小时内派出合格的服务人员到达现场进行服务，且由乙方承担相应费用。</w:t>
      </w:r>
    </w:p>
    <w:p w14:paraId="4F1032B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3-2、如果乙方在收到通知后两天内没有弥补缺陷，甲方可采取必要的补救措施，但其风险和费用将由乙方承担，甲方有权从未付款项中扣除，且甲方根据合同规定对乙方行使的其它权力不受影响。</w:t>
      </w:r>
    </w:p>
    <w:p w14:paraId="28C10A27">
      <w:pPr>
        <w:adjustRightInd w:val="0"/>
        <w:snapToGrid w:val="0"/>
        <w:spacing w:line="360" w:lineRule="auto"/>
        <w:ind w:firstLine="480" w:firstLineChars="200"/>
        <w:rPr>
          <w:rFonts w:ascii="仿宋" w:hAnsi="仿宋" w:eastAsia="仿宋" w:cs="仿宋"/>
          <w:sz w:val="24"/>
        </w:rPr>
      </w:pPr>
      <w:bookmarkStart w:id="6" w:name="_Toc19515391"/>
      <w:r>
        <w:rPr>
          <w:rFonts w:hint="eastAsia" w:ascii="仿宋" w:hAnsi="仿宋" w:eastAsia="仿宋" w:cs="仿宋"/>
          <w:sz w:val="24"/>
        </w:rPr>
        <w:t>六、</w:t>
      </w:r>
      <w:bookmarkEnd w:id="6"/>
      <w:bookmarkStart w:id="7" w:name="_Toc19515392"/>
      <w:r>
        <w:rPr>
          <w:rFonts w:hint="eastAsia" w:ascii="仿宋" w:hAnsi="仿宋" w:eastAsia="仿宋" w:cs="仿宋"/>
          <w:sz w:val="24"/>
        </w:rPr>
        <w:t>违约责任</w:t>
      </w:r>
      <w:bookmarkEnd w:id="7"/>
    </w:p>
    <w:p w14:paraId="282C95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61A3344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7997A3F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2-1、如乙方事先未征得甲方同意并得到甲方的谅解而单方面延迟执行合同，应按合同总价款 </w:t>
      </w:r>
      <w:r>
        <w:rPr>
          <w:rFonts w:ascii="仿宋" w:hAnsi="仿宋" w:eastAsia="仿宋" w:cs="仿宋"/>
          <w:sz w:val="24"/>
        </w:rPr>
        <w:t xml:space="preserve">  %</w:t>
      </w:r>
      <w:r>
        <w:rPr>
          <w:rFonts w:hint="eastAsia" w:ascii="仿宋" w:hAnsi="仿宋" w:eastAsia="仿宋" w:cs="仿宋"/>
          <w:sz w:val="24"/>
        </w:rPr>
        <w:t>向甲方支付违约金，同事甲方有权单方终止合同。</w:t>
      </w:r>
    </w:p>
    <w:p w14:paraId="5294A30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DC2F62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7BCCF3DC">
      <w:pPr>
        <w:adjustRightInd w:val="0"/>
        <w:snapToGrid w:val="0"/>
        <w:spacing w:line="360" w:lineRule="auto"/>
        <w:ind w:firstLine="480" w:firstLineChars="200"/>
        <w:rPr>
          <w:rFonts w:ascii="仿宋" w:hAnsi="仿宋" w:eastAsia="仿宋" w:cs="仿宋"/>
          <w:sz w:val="24"/>
        </w:rPr>
      </w:pPr>
      <w:bookmarkStart w:id="8" w:name="_Toc19515393"/>
      <w:r>
        <w:rPr>
          <w:rFonts w:hint="eastAsia" w:ascii="仿宋" w:hAnsi="仿宋" w:eastAsia="仿宋" w:cs="仿宋"/>
          <w:sz w:val="24"/>
        </w:rPr>
        <w:t>七、合同组成</w:t>
      </w:r>
      <w:bookmarkEnd w:id="8"/>
    </w:p>
    <w:p w14:paraId="4147B6F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2AA405C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96BDF6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8104B0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4B939CC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74532339">
      <w:pPr>
        <w:adjustRightInd w:val="0"/>
        <w:snapToGrid w:val="0"/>
        <w:spacing w:line="360" w:lineRule="auto"/>
        <w:ind w:firstLine="480" w:firstLineChars="200"/>
        <w:rPr>
          <w:rFonts w:ascii="仿宋" w:hAnsi="仿宋" w:eastAsia="仿宋" w:cs="仿宋"/>
          <w:sz w:val="24"/>
        </w:rPr>
      </w:pPr>
      <w:bookmarkStart w:id="9" w:name="_Toc19515394"/>
      <w:r>
        <w:rPr>
          <w:rFonts w:hint="eastAsia" w:ascii="仿宋" w:hAnsi="仿宋" w:eastAsia="仿宋" w:cs="仿宋"/>
          <w:sz w:val="24"/>
        </w:rPr>
        <w:t>八、解决争议的方法</w:t>
      </w:r>
      <w:bookmarkEnd w:id="9"/>
    </w:p>
    <w:p w14:paraId="5A4E86E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6A53B27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5E57EB8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1C01787">
      <w:pPr>
        <w:adjustRightInd w:val="0"/>
        <w:snapToGrid w:val="0"/>
        <w:spacing w:line="360" w:lineRule="auto"/>
        <w:ind w:firstLine="480" w:firstLineChars="200"/>
        <w:rPr>
          <w:rFonts w:ascii="仿宋" w:hAnsi="仿宋" w:eastAsia="仿宋" w:cs="仿宋"/>
          <w:sz w:val="24"/>
        </w:rPr>
      </w:pPr>
      <w:bookmarkStart w:id="10" w:name="_Toc19515395"/>
      <w:r>
        <w:rPr>
          <w:rFonts w:hint="eastAsia" w:ascii="仿宋" w:hAnsi="仿宋" w:eastAsia="仿宋" w:cs="仿宋"/>
          <w:sz w:val="24"/>
        </w:rPr>
        <w:t>九、合同生效及其它</w:t>
      </w:r>
      <w:bookmarkEnd w:id="10"/>
    </w:p>
    <w:p w14:paraId="26320689">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C40ED9C">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43A5ACEB">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4D5439F3">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6374A6D">
        <w:tblPrEx>
          <w:tblCellMar>
            <w:top w:w="0" w:type="dxa"/>
            <w:left w:w="108" w:type="dxa"/>
            <w:bottom w:w="0" w:type="dxa"/>
            <w:right w:w="108" w:type="dxa"/>
          </w:tblCellMar>
        </w:tblPrEx>
        <w:trPr>
          <w:jc w:val="center"/>
        </w:trPr>
        <w:tc>
          <w:tcPr>
            <w:tcW w:w="4643" w:type="dxa"/>
          </w:tcPr>
          <w:p w14:paraId="56D8A1C9">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256D4F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6040E7D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0923D3F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117590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4DA069E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59C88547">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7CC1D5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5633B8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23A6E30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833C35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3FB0A01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E9FA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F21B6"/>
    <w:rsid w:val="08A054E5"/>
    <w:rsid w:val="156F21B6"/>
    <w:rsid w:val="346927AF"/>
    <w:rsid w:val="357E6311"/>
    <w:rsid w:val="7F252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1200</Words>
  <Characters>1218</Characters>
  <Lines>0</Lines>
  <Paragraphs>0</Paragraphs>
  <TotalTime>0</TotalTime>
  <ScaleCrop>false</ScaleCrop>
  <LinksUpToDate>false</LinksUpToDate>
  <CharactersWithSpaces>1285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2025-05-12T09:19:00Z</dcterms:created>
  <dc:creator>Administrator</dc:creator>
  <cp:lastModifiedBy>Administrator</cp:lastModifiedBy>
  <dcterms:modified xsi:type="dcterms:W3CDTF">2025-08-20T09:32:18Z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2A30C243E702403984022E790CD102B8_11</vt:lpwstr>
  </property>
  <property fmtid="{D5CDD505-2E9C-101B-9397-08002B2CF9AE}" pid="4" name="KSOTemplateDocerSaveRecord">
    <vt:lpwstr>eyJoZGlkIjoiMjAzYmJiNzk3NTgyYTJmNTM0N2IyODVhMDQ1N2IxNTAiLCJ1c2VySWQiOiI0MDk2MTE0NDAifQ==</vt:lpwstr>
  </property>
</Properties>
</file>