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版本号：ZJZB2025-GK107320250902001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数控车实训室设备更新及改造项目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ZJZB2025-GK1073</w:t>
      </w:r>
      <w:r>
        <w:br/>
      </w:r>
      <w:r>
        <w:br/>
      </w:r>
      <w:r>
        <w:br/>
      </w:r>
    </w:p>
    <w:p>
      <w:pPr>
        <w:pStyle w:val="null3"/>
        <w:jc w:val="center"/>
        <w:outlineLvl w:val="2"/>
      </w:pPr>
      <w:r>
        <w:rPr>
          <w:rFonts w:ascii="仿宋_GB2312" w:hAnsi="仿宋_GB2312" w:cs="仿宋_GB2312" w:eastAsia="仿宋_GB2312"/>
          <w:sz w:val="28"/>
          <w:b/>
        </w:rPr>
        <w:t>陕西省机械高级技工学校</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陕西省机械高级技工学校</w:t>
      </w:r>
      <w:r>
        <w:rPr>
          <w:rFonts w:ascii="仿宋_GB2312" w:hAnsi="仿宋_GB2312" w:cs="仿宋_GB2312" w:eastAsia="仿宋_GB2312"/>
        </w:rPr>
        <w:t>委托，拟对</w:t>
      </w:r>
      <w:r>
        <w:rPr>
          <w:rFonts w:ascii="仿宋_GB2312" w:hAnsi="仿宋_GB2312" w:cs="仿宋_GB2312" w:eastAsia="仿宋_GB2312"/>
        </w:rPr>
        <w:t>数控车实训室设备更新及改造项目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ZJZB2025-GK1073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数控车实训室设备更新及改造项目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数控车实训室设备更新及改造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1、法定代表人授权委托书：法定代表人授权委托书、被授权人身份证（法定代表人参加磋商时,只需提供法定代表人身份证）；</w:t>
      </w:r>
    </w:p>
    <w:p>
      <w:pPr>
        <w:pStyle w:val="null3"/>
      </w:pPr>
      <w:r>
        <w:rPr>
          <w:rFonts w:ascii="仿宋_GB2312" w:hAnsi="仿宋_GB2312" w:cs="仿宋_GB2312" w:eastAsia="仿宋_GB2312"/>
        </w:rPr>
        <w:t>2、信誉要求：供应商未被列入信用中国网站(www.creditchina.gov.cn)“失信被执行人、重大税收违法案件当事人名单、政府采购严重违法失信名单”；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陕西省机械高级技工学校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陕西省汉中市河东店镇周孤路1号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18717461706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陕西省西安市雁塔区陕西省西安市高新区高新路52号高科大厦17、18F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招标一部高杰、高凯、曾艳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说明：履约保证金：中标金额的5% 银行转账账户信息： 单位名称:陕西省机械高级技工学校 统一社会信用代码:126100004359413019 开户行:中国银行汉中西环路支行 账号:102510107893 开户行联行号:104799000147 地址:汉中市汉台区河东店镇 电话:0916-2126533 1.履约保证金交纳时间：中标人在领取中标通知书后5个工作日内，与采购方签订采购合同；签订合同前，需向采购人支付履约保证金； 2.履约保证金退还：在采购人质保期一年后无违约违规采购合同内容，10个工作日内一次性无息付清； 3.退换方式：银行转账。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代理服务费收费标准：1.招标代理服务费的计算方法：以中标金额为基数，依据国家计委颁布《招标代理服务收费管理暂行办法》（计价格[2002]1980号）和国家发展改革委员会办公厅颁 发的《关于招标代理服务收费有关问题的通知》（发改办价格[2003]857号）文件规定执行。 2.招标代理服务费按约定由成交人支 付，成交单位在领取成交通知书前，须向采购代理机构支付成交服务费； 3.招标代理服务费缴 纳账户： 开户名称：陕西中基项目管理有限公司 开户银行：中国建设银行股份有限公司陕西省分行营业部 账号：6100 1902 9000 5250 4055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陕西省机械高级技工学校</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陕西省机械高级技工学校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陕西省机械高级技工学校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联系人：曾艳</w:t>
      </w:r>
    </w:p>
    <w:p>
      <w:pPr>
        <w:pStyle w:val="null3"/>
      </w:pPr>
      <w:r>
        <w:rPr>
          <w:rFonts w:ascii="仿宋_GB2312" w:hAnsi="仿宋_GB2312" w:cs="仿宋_GB2312" w:eastAsia="仿宋_GB2312"/>
        </w:rPr>
        <w:t>联系电话：18681807608</w:t>
      </w:r>
    </w:p>
    <w:p>
      <w:pPr>
        <w:pStyle w:val="null3"/>
      </w:pPr>
      <w:r>
        <w:rPr>
          <w:rFonts w:ascii="仿宋_GB2312" w:hAnsi="仿宋_GB2312" w:cs="仿宋_GB2312" w:eastAsia="仿宋_GB2312"/>
        </w:rPr>
        <w:t>地址：高新路52号，高科大厦17楼</w:t>
      </w:r>
    </w:p>
    <w:p>
      <w:pPr>
        <w:pStyle w:val="null3"/>
      </w:pPr>
      <w:r>
        <w:rPr>
          <w:rFonts w:ascii="仿宋_GB2312" w:hAnsi="仿宋_GB2312" w:cs="仿宋_GB2312" w:eastAsia="仿宋_GB2312"/>
        </w:rPr>
        <w:t>邮编：575019</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数控车实训室设备更新及改造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850000</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一、项目背景</w:t>
            </w:r>
          </w:p>
          <w:p>
            <w:pPr>
              <w:pStyle w:val="null3"/>
              <w:ind w:firstLine="400"/>
              <w:jc w:val="left"/>
            </w:pPr>
            <w:r>
              <w:rPr>
                <w:rFonts w:ascii="仿宋_GB2312" w:hAnsi="仿宋_GB2312" w:cs="仿宋_GB2312" w:eastAsia="仿宋_GB2312"/>
                <w:sz w:val="20"/>
              </w:rPr>
              <w:t>随着制造业的快速发展，数控技术在机械加工领域的应用日益广泛。为了适应行业发展需求，提升我校数控专业教学质量，培养出更符合市场需求的高素质技能型人才，对数控车实训室进行设备更新及改造迫在眉睫。目前，我校数控车实训室部分设备陈旧老化，精度下降，无法满足现代数控加工教学与技能大赛训练的要求；同时，教学辅助设备及软件也存在不足，制约了教学效果和学生实践能力的提升。现拟计划投入</w:t>
            </w:r>
            <w:r>
              <w:rPr>
                <w:rFonts w:ascii="仿宋_GB2312" w:hAnsi="仿宋_GB2312" w:cs="仿宋_GB2312" w:eastAsia="仿宋_GB2312"/>
                <w:sz w:val="20"/>
              </w:rPr>
              <w:t>85万元对数控车实训室设备进行更新及改造，以实现设备升级与竞赛能力提升双目标。</w:t>
            </w:r>
          </w:p>
          <w:p>
            <w:pPr>
              <w:pStyle w:val="null3"/>
              <w:jc w:val="left"/>
            </w:pPr>
            <w:r>
              <w:rPr>
                <w:rFonts w:ascii="仿宋_GB2312" w:hAnsi="仿宋_GB2312" w:cs="仿宋_GB2312" w:eastAsia="仿宋_GB2312"/>
                <w:sz w:val="20"/>
              </w:rPr>
              <w:t>二、采购目标：</w:t>
            </w:r>
          </w:p>
          <w:p>
            <w:pPr>
              <w:pStyle w:val="null3"/>
              <w:ind w:firstLine="400"/>
              <w:jc w:val="left"/>
            </w:pPr>
            <w:r>
              <w:rPr>
                <w:rFonts w:ascii="仿宋_GB2312" w:hAnsi="仿宋_GB2312" w:cs="仿宋_GB2312" w:eastAsia="仿宋_GB2312"/>
                <w:sz w:val="20"/>
              </w:rPr>
              <w:t>1. 更新数控车专业实训设备，提高设备性能和精度，满足在校生实训教学及技能大赛训练需求。</w:t>
            </w:r>
          </w:p>
          <w:p>
            <w:pPr>
              <w:pStyle w:val="null3"/>
              <w:ind w:firstLine="400"/>
              <w:jc w:val="left"/>
            </w:pPr>
            <w:r>
              <w:rPr>
                <w:rFonts w:ascii="仿宋_GB2312" w:hAnsi="仿宋_GB2312" w:cs="仿宋_GB2312" w:eastAsia="仿宋_GB2312"/>
                <w:sz w:val="20"/>
              </w:rPr>
              <w:t>2. 完善实训场地的教学辅助设施，优化教学环境，提升教学质量和效率。</w:t>
            </w:r>
          </w:p>
          <w:p>
            <w:pPr>
              <w:pStyle w:val="null3"/>
              <w:ind w:firstLine="400"/>
              <w:jc w:val="left"/>
            </w:pPr>
            <w:r>
              <w:rPr>
                <w:rFonts w:ascii="仿宋_GB2312" w:hAnsi="仿宋_GB2312" w:cs="仿宋_GB2312" w:eastAsia="仿宋_GB2312"/>
                <w:sz w:val="20"/>
              </w:rPr>
              <w:t>3. 通过设备更新及改造，培养学生掌握先进的数控车加工技术，提高学生的实践操作能力和职业素养。</w:t>
            </w:r>
          </w:p>
          <w:p>
            <w:pPr>
              <w:pStyle w:val="null3"/>
              <w:jc w:val="left"/>
            </w:pPr>
            <w:r>
              <w:rPr>
                <w:rFonts w:ascii="仿宋_GB2312" w:hAnsi="仿宋_GB2312" w:cs="仿宋_GB2312" w:eastAsia="仿宋_GB2312"/>
                <w:sz w:val="20"/>
              </w:rPr>
              <w:t>三、项目实施内容</w:t>
            </w:r>
          </w:p>
          <w:p>
            <w:pPr>
              <w:pStyle w:val="null3"/>
              <w:jc w:val="left"/>
            </w:pPr>
            <w:r>
              <w:rPr>
                <w:rFonts w:ascii="仿宋_GB2312" w:hAnsi="仿宋_GB2312" w:cs="仿宋_GB2312" w:eastAsia="仿宋_GB2312"/>
                <w:sz w:val="20"/>
              </w:rPr>
              <w:t>（一）项目采购清单</w:t>
            </w:r>
          </w:p>
          <w:tbl>
            <w:tblPr>
              <w:tblBorders>
                <w:top w:val="none" w:color="000000" w:sz="4"/>
                <w:left w:val="none" w:color="000000" w:sz="4"/>
                <w:bottom w:val="none" w:color="000000" w:sz="4"/>
                <w:right w:val="none" w:color="000000" w:sz="4"/>
                <w:insideH w:val="none"/>
                <w:insideV w:val="none"/>
              </w:tblBorders>
            </w:tblPr>
            <w:tblGrid>
              <w:gridCol w:w="304"/>
              <w:gridCol w:w="523"/>
              <w:gridCol w:w="1969"/>
              <w:gridCol w:w="383"/>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w:t>
                  </w:r>
                </w:p>
                <w:p>
                  <w:pPr>
                    <w:pStyle w:val="null3"/>
                    <w:jc w:val="center"/>
                  </w:pPr>
                  <w:r>
                    <w:rPr>
                      <w:rFonts w:ascii="仿宋_GB2312" w:hAnsi="仿宋_GB2312" w:cs="仿宋_GB2312" w:eastAsia="仿宋_GB2312"/>
                      <w:sz w:val="20"/>
                    </w:rPr>
                    <w:t>名称</w:t>
                  </w:r>
                </w:p>
              </w:tc>
              <w:tc>
                <w:tcPr>
                  <w:tcW w:type="dxa" w:w="1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w:t>
                  </w:r>
                </w:p>
                <w:p>
                  <w:pPr>
                    <w:pStyle w:val="null3"/>
                    <w:jc w:val="center"/>
                  </w:pPr>
                  <w:r>
                    <w:rPr>
                      <w:rFonts w:ascii="仿宋_GB2312" w:hAnsi="仿宋_GB2312" w:cs="仿宋_GB2312" w:eastAsia="仿宋_GB2312"/>
                      <w:sz w:val="20"/>
                    </w:rPr>
                    <w:t>参数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数控车床及附件</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机床：床身最大回转直径</w:t>
                  </w:r>
                  <w:r>
                    <w:rPr>
                      <w:rFonts w:ascii="仿宋_GB2312" w:hAnsi="仿宋_GB2312" w:cs="仿宋_GB2312" w:eastAsia="仿宋_GB2312"/>
                      <w:sz w:val="20"/>
                    </w:rPr>
                    <w:t>Ф400mm；最大切削长度850mm；数控系统法拉科FANUC 0i-TF-Plus；前置四工位刀架；详细参数见：（数控车床设备参数）</w:t>
                  </w:r>
                </w:p>
                <w:p>
                  <w:pPr>
                    <w:pStyle w:val="null3"/>
                    <w:jc w:val="left"/>
                  </w:pPr>
                  <w:r>
                    <w:rPr>
                      <w:rFonts w:ascii="仿宋_GB2312" w:hAnsi="仿宋_GB2312" w:cs="仿宋_GB2312" w:eastAsia="仿宋_GB2312"/>
                      <w:sz w:val="20"/>
                    </w:rPr>
                    <w:t>2.将购置新设备按照要求，指定位置安装调试好，并保证正常使用，方可验收。</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6台/套</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CAD/CAM编程工作站</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CPU: Intel Core i7-14700F</w:t>
                  </w:r>
                </w:p>
                <w:p>
                  <w:pPr>
                    <w:pStyle w:val="null3"/>
                    <w:jc w:val="center"/>
                  </w:pPr>
                  <w:r>
                    <w:rPr>
                      <w:rFonts w:ascii="仿宋_GB2312" w:hAnsi="仿宋_GB2312" w:cs="仿宋_GB2312" w:eastAsia="仿宋_GB2312"/>
                      <w:sz w:val="20"/>
                    </w:rPr>
                    <w:t>显卡：独立显卡</w:t>
                  </w:r>
                  <w:r>
                    <w:rPr>
                      <w:rFonts w:ascii="仿宋_GB2312" w:hAnsi="仿宋_GB2312" w:cs="仿宋_GB2312" w:eastAsia="仿宋_GB2312"/>
                      <w:sz w:val="20"/>
                    </w:rPr>
                    <w:t>NVIDIA GeForce RTX4060</w:t>
                  </w:r>
                </w:p>
                <w:p>
                  <w:pPr>
                    <w:pStyle w:val="null3"/>
                    <w:jc w:val="center"/>
                  </w:pPr>
                  <w:r>
                    <w:rPr>
                      <w:rFonts w:ascii="仿宋_GB2312" w:hAnsi="仿宋_GB2312" w:cs="仿宋_GB2312" w:eastAsia="仿宋_GB2312"/>
                      <w:sz w:val="20"/>
                    </w:rPr>
                    <w:t>内存容量：</w:t>
                  </w:r>
                  <w:r>
                    <w:rPr>
                      <w:rFonts w:ascii="仿宋_GB2312" w:hAnsi="仿宋_GB2312" w:cs="仿宋_GB2312" w:eastAsia="仿宋_GB2312"/>
                      <w:sz w:val="20"/>
                    </w:rPr>
                    <w:t>≥16GB</w:t>
                  </w:r>
                </w:p>
                <w:p>
                  <w:pPr>
                    <w:pStyle w:val="null3"/>
                    <w:jc w:val="center"/>
                  </w:pPr>
                  <w:r>
                    <w:rPr>
                      <w:rFonts w:ascii="仿宋_GB2312" w:hAnsi="仿宋_GB2312" w:cs="仿宋_GB2312" w:eastAsia="仿宋_GB2312"/>
                      <w:sz w:val="20"/>
                    </w:rPr>
                    <w:t>硬盘容量：</w:t>
                  </w:r>
                  <w:r>
                    <w:rPr>
                      <w:rFonts w:ascii="仿宋_GB2312" w:hAnsi="仿宋_GB2312" w:cs="仿宋_GB2312" w:eastAsia="仿宋_GB2312"/>
                      <w:sz w:val="20"/>
                    </w:rPr>
                    <w:t>≥1TB固态硬盘</w:t>
                  </w:r>
                </w:p>
                <w:p>
                  <w:pPr>
                    <w:pStyle w:val="null3"/>
                    <w:jc w:val="center"/>
                  </w:pPr>
                  <w:r>
                    <w:rPr>
                      <w:rFonts w:ascii="仿宋_GB2312" w:hAnsi="仿宋_GB2312" w:cs="仿宋_GB2312" w:eastAsia="仿宋_GB2312"/>
                      <w:sz w:val="20"/>
                    </w:rPr>
                    <w:t>电源瓦数：</w:t>
                  </w:r>
                  <w:r>
                    <w:rPr>
                      <w:rFonts w:ascii="仿宋_GB2312" w:hAnsi="仿宋_GB2312" w:cs="仿宋_GB2312" w:eastAsia="仿宋_GB2312"/>
                      <w:sz w:val="20"/>
                    </w:rPr>
                    <w:t>500W白金认证电源</w:t>
                  </w:r>
                </w:p>
                <w:p>
                  <w:pPr>
                    <w:pStyle w:val="null3"/>
                    <w:jc w:val="center"/>
                  </w:pPr>
                  <w:r>
                    <w:rPr>
                      <w:rFonts w:ascii="仿宋_GB2312" w:hAnsi="仿宋_GB2312" w:cs="仿宋_GB2312" w:eastAsia="仿宋_GB2312"/>
                      <w:sz w:val="20"/>
                    </w:rPr>
                    <w:t>散热配置：风冷散热</w:t>
                  </w:r>
                </w:p>
                <w:p>
                  <w:pPr>
                    <w:pStyle w:val="null3"/>
                    <w:jc w:val="center"/>
                  </w:pPr>
                  <w:r>
                    <w:rPr>
                      <w:rFonts w:ascii="仿宋_GB2312" w:hAnsi="仿宋_GB2312" w:cs="仿宋_GB2312" w:eastAsia="仿宋_GB2312"/>
                      <w:sz w:val="20"/>
                    </w:rPr>
                    <w:t>机箱尺寸：</w:t>
                  </w:r>
                  <w:r>
                    <w:rPr>
                      <w:rFonts w:ascii="仿宋_GB2312" w:hAnsi="仿宋_GB2312" w:cs="仿宋_GB2312" w:eastAsia="仿宋_GB2312"/>
                      <w:sz w:val="20"/>
                    </w:rPr>
                    <w:t>375*170*279（H*W*D）</w:t>
                  </w:r>
                </w:p>
                <w:p>
                  <w:pPr>
                    <w:pStyle w:val="null3"/>
                    <w:jc w:val="center"/>
                  </w:pPr>
                  <w:r>
                    <w:rPr>
                      <w:rFonts w:ascii="仿宋_GB2312" w:hAnsi="仿宋_GB2312" w:cs="仿宋_GB2312" w:eastAsia="仿宋_GB2312"/>
                      <w:sz w:val="20"/>
                    </w:rPr>
                    <w:t>显示器：</w:t>
                  </w:r>
                  <w:r>
                    <w:rPr>
                      <w:rFonts w:ascii="仿宋_GB2312" w:hAnsi="仿宋_GB2312" w:cs="仿宋_GB2312" w:eastAsia="仿宋_GB2312"/>
                      <w:sz w:val="20"/>
                    </w:rPr>
                    <w:t>≥27英寸</w:t>
                  </w:r>
                </w:p>
                <w:p>
                  <w:pPr>
                    <w:pStyle w:val="null3"/>
                    <w:jc w:val="center"/>
                  </w:pPr>
                  <w:r>
                    <w:rPr>
                      <w:rFonts w:ascii="仿宋_GB2312" w:hAnsi="仿宋_GB2312" w:cs="仿宋_GB2312" w:eastAsia="仿宋_GB2312"/>
                      <w:sz w:val="20"/>
                    </w:rPr>
                    <w:t>显示器分辨率：</w:t>
                  </w:r>
                  <w:r>
                    <w:rPr>
                      <w:rFonts w:ascii="仿宋_GB2312" w:hAnsi="仿宋_GB2312" w:cs="仿宋_GB2312" w:eastAsia="仿宋_GB2312"/>
                      <w:sz w:val="20"/>
                    </w:rPr>
                    <w:t>1920×1080</w:t>
                  </w:r>
                </w:p>
                <w:p>
                  <w:pPr>
                    <w:pStyle w:val="null3"/>
                    <w:jc w:val="center"/>
                  </w:pPr>
                  <w:r>
                    <w:rPr>
                      <w:rFonts w:ascii="仿宋_GB2312" w:hAnsi="仿宋_GB2312" w:cs="仿宋_GB2312" w:eastAsia="仿宋_GB2312"/>
                      <w:sz w:val="20"/>
                    </w:rPr>
                    <w:t>显示器色域：</w:t>
                  </w:r>
                  <w:r>
                    <w:rPr>
                      <w:rFonts w:ascii="仿宋_GB2312" w:hAnsi="仿宋_GB2312" w:cs="仿宋_GB2312" w:eastAsia="仿宋_GB2312"/>
                      <w:sz w:val="20"/>
                    </w:rPr>
                    <w:t>72%NTSC</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6台/套</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便捷式智慧黑板</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教学一体机</w:t>
                  </w:r>
                  <w:r>
                    <w:rPr>
                      <w:rFonts w:ascii="仿宋_GB2312" w:hAnsi="仿宋_GB2312" w:cs="仿宋_GB2312" w:eastAsia="仿宋_GB2312"/>
                      <w:sz w:val="20"/>
                    </w:rPr>
                    <w:t>.具体参数：显示屏≥86英寸 i7+内存≥8g+硬盘容量≥256g+ST33支架，i7处理器，≥8+256G，ST33支架86英寸，触控交互，支持多媒体教学、屏幕共享及数控程序演示，配套移动架</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实训场地改造</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防滑环氧树脂地坪处理，安全区域标识划分，设备布局优化</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w:t>
                  </w:r>
                  <w:r>
                    <w:rPr>
                      <w:rFonts w:ascii="仿宋_GB2312" w:hAnsi="仿宋_GB2312" w:cs="仿宋_GB2312" w:eastAsia="仿宋_GB2312"/>
                      <w:sz w:val="20"/>
                    </w:rPr>
                    <w:t>200平米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旧设备移除</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将场地原有</w:t>
                  </w:r>
                  <w:r>
                    <w:rPr>
                      <w:rFonts w:ascii="仿宋_GB2312" w:hAnsi="仿宋_GB2312" w:cs="仿宋_GB2312" w:eastAsia="仿宋_GB2312"/>
                      <w:sz w:val="20"/>
                    </w:rPr>
                    <w:t>10台旧设备中 4台设备搬至指定区域摆放，6台设备按照新区域划分重新摆放，所有设备通电并校平，保证能正常运行。</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电脑桌</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长宽高（</w:t>
                  </w:r>
                  <w:r>
                    <w:rPr>
                      <w:rFonts w:ascii="仿宋_GB2312" w:hAnsi="仿宋_GB2312" w:cs="仿宋_GB2312" w:eastAsia="仿宋_GB2312"/>
                      <w:sz w:val="20"/>
                    </w:rPr>
                    <w:t>100*60*75）；方管钢架解构，右下角连体电脑机箱架子；方管壁厚不小于1.2mm</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6套</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围栏</w:t>
                  </w:r>
                </w:p>
              </w:tc>
              <w:tc>
                <w:tcPr>
                  <w:tcW w:type="dxa" w:w="1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国标加厚，伸缩连接螺丝，印漆工艺，圆管封口，厚圆管，厚柱子立柱，玻璃钢护栏；高</w:t>
                  </w:r>
                  <w:r>
                    <w:rPr>
                      <w:rFonts w:ascii="仿宋_GB2312" w:hAnsi="仿宋_GB2312" w:cs="仿宋_GB2312" w:eastAsia="仿宋_GB2312"/>
                      <w:sz w:val="20"/>
                    </w:rPr>
                    <w:t>1.2m，长3米</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30米</w:t>
                  </w:r>
                </w:p>
              </w:tc>
            </w:tr>
          </w:tbl>
          <w:p>
            <w:pPr>
              <w:pStyle w:val="null3"/>
              <w:jc w:val="left"/>
            </w:pPr>
            <w:r>
              <w:rPr>
                <w:rFonts w:ascii="仿宋_GB2312" w:hAnsi="仿宋_GB2312" w:cs="仿宋_GB2312" w:eastAsia="仿宋_GB2312"/>
                <w:sz w:val="20"/>
              </w:rPr>
              <w:t>（二）购置设备技术参数要求</w:t>
            </w:r>
          </w:p>
          <w:p>
            <w:pPr>
              <w:pStyle w:val="null3"/>
              <w:jc w:val="left"/>
            </w:pPr>
            <w:r>
              <w:rPr>
                <w:rFonts w:ascii="仿宋_GB2312" w:hAnsi="仿宋_GB2312" w:cs="仿宋_GB2312" w:eastAsia="仿宋_GB2312"/>
                <w:sz w:val="20"/>
              </w:rPr>
              <w:t>1、数控车床设备参数</w:t>
            </w:r>
          </w:p>
          <w:tbl>
            <w:tblPr>
              <w:tblBorders>
                <w:top w:val="none" w:color="000000" w:sz="4"/>
                <w:left w:val="none" w:color="000000" w:sz="4"/>
                <w:bottom w:val="none" w:color="000000" w:sz="4"/>
                <w:right w:val="none" w:color="000000" w:sz="4"/>
                <w:insideH w:val="none"/>
                <w:insideV w:val="none"/>
              </w:tblBorders>
            </w:tblPr>
            <w:tblGrid>
              <w:gridCol w:w="379"/>
              <w:gridCol w:w="2174"/>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2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设备参数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数控车床</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（一）、主要技术参数：</w:t>
                  </w:r>
                </w:p>
                <w:p>
                  <w:pPr>
                    <w:pStyle w:val="null3"/>
                    <w:jc w:val="both"/>
                  </w:pPr>
                  <w:r>
                    <w:rPr>
                      <w:rFonts w:ascii="仿宋_GB2312" w:hAnsi="仿宋_GB2312" w:cs="仿宋_GB2312" w:eastAsia="仿宋_GB2312"/>
                      <w:sz w:val="20"/>
                    </w:rPr>
                    <w:t>1.床身上最大回转直径：≥Φ400 mm；最大切削直径：Ф400mm</w:t>
                  </w:r>
                </w:p>
                <w:p>
                  <w:pPr>
                    <w:pStyle w:val="null3"/>
                    <w:jc w:val="both"/>
                  </w:pPr>
                  <w:r>
                    <w:rPr>
                      <w:rFonts w:ascii="仿宋_GB2312" w:hAnsi="仿宋_GB2312" w:cs="仿宋_GB2312" w:eastAsia="仿宋_GB2312"/>
                      <w:sz w:val="20"/>
                    </w:rPr>
                    <w:t>2.最大切削长度：≥Φ850 mm</w:t>
                  </w:r>
                </w:p>
                <w:p>
                  <w:pPr>
                    <w:pStyle w:val="null3"/>
                    <w:jc w:val="both"/>
                  </w:pPr>
                  <w:r>
                    <w:rPr>
                      <w:rFonts w:ascii="仿宋_GB2312" w:hAnsi="仿宋_GB2312" w:cs="仿宋_GB2312" w:eastAsia="仿宋_GB2312"/>
                      <w:sz w:val="20"/>
                    </w:rPr>
                    <w:t>3.滑板上最大回转直径：≥Φ200 mm</w:t>
                  </w:r>
                </w:p>
                <w:p>
                  <w:pPr>
                    <w:pStyle w:val="null3"/>
                    <w:jc w:val="both"/>
                  </w:pPr>
                  <w:r>
                    <w:rPr>
                      <w:rFonts w:ascii="仿宋_GB2312" w:hAnsi="仿宋_GB2312" w:cs="仿宋_GB2312" w:eastAsia="仿宋_GB2312"/>
                      <w:sz w:val="20"/>
                    </w:rPr>
                    <w:t>4.X轴行程：≥220 mm， Z轴行程：≥850 mm</w:t>
                  </w:r>
                </w:p>
                <w:p>
                  <w:pPr>
                    <w:pStyle w:val="null3"/>
                    <w:jc w:val="both"/>
                  </w:pPr>
                  <w:r>
                    <w:rPr>
                      <w:rFonts w:ascii="仿宋_GB2312" w:hAnsi="仿宋_GB2312" w:cs="仿宋_GB2312" w:eastAsia="仿宋_GB2312"/>
                      <w:sz w:val="20"/>
                    </w:rPr>
                    <w:t>5.主轴通孔直径：≥Φ53mm</w:t>
                  </w:r>
                </w:p>
                <w:p>
                  <w:pPr>
                    <w:pStyle w:val="null3"/>
                    <w:jc w:val="both"/>
                  </w:pPr>
                  <w:r>
                    <w:rPr>
                      <w:rFonts w:ascii="仿宋_GB2312" w:hAnsi="仿宋_GB2312" w:cs="仿宋_GB2312" w:eastAsia="仿宋_GB2312"/>
                      <w:sz w:val="20"/>
                    </w:rPr>
                    <w:t>6.主轴端部形式及代号：A1-6</w:t>
                  </w:r>
                </w:p>
                <w:p>
                  <w:pPr>
                    <w:pStyle w:val="null3"/>
                    <w:jc w:val="both"/>
                  </w:pPr>
                  <w:r>
                    <w:rPr>
                      <w:rFonts w:ascii="仿宋_GB2312" w:hAnsi="仿宋_GB2312" w:cs="仿宋_GB2312" w:eastAsia="仿宋_GB2312"/>
                      <w:sz w:val="20"/>
                    </w:rPr>
                    <w:t>7.主轴转速范围：100-2400r/min（独立主轴</w:t>
                  </w:r>
                  <w:r>
                    <w:rPr>
                      <w:rFonts w:ascii="仿宋_GB2312" w:hAnsi="仿宋_GB2312" w:cs="仿宋_GB2312" w:eastAsia="仿宋_GB2312"/>
                      <w:sz w:val="20"/>
                    </w:rPr>
                    <w:t>）</w:t>
                  </w:r>
                  <w:r>
                    <w:rPr>
                      <w:rFonts w:ascii="仿宋_GB2312" w:hAnsi="仿宋_GB2312" w:cs="仿宋_GB2312" w:eastAsia="仿宋_GB2312"/>
                      <w:sz w:val="20"/>
                    </w:rPr>
                    <w:t>，主轴转速级数：无极变速</w:t>
                  </w:r>
                </w:p>
                <w:p>
                  <w:pPr>
                    <w:pStyle w:val="null3"/>
                    <w:jc w:val="both"/>
                  </w:pPr>
                  <w:r>
                    <w:rPr>
                      <w:rFonts w:ascii="仿宋_GB2312" w:hAnsi="仿宋_GB2312" w:cs="仿宋_GB2312" w:eastAsia="仿宋_GB2312"/>
                      <w:sz w:val="20"/>
                    </w:rPr>
                    <w:t>8.主轴电机功率：≥7.5kw (变频主轴，采用主伺服电机)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9.卡盘直径：Φ250mm</w:t>
                  </w:r>
                </w:p>
                <w:p>
                  <w:pPr>
                    <w:pStyle w:val="null3"/>
                    <w:jc w:val="both"/>
                  </w:pPr>
                  <w:r>
                    <w:rPr>
                      <w:rFonts w:ascii="仿宋_GB2312" w:hAnsi="仿宋_GB2312" w:cs="仿宋_GB2312" w:eastAsia="仿宋_GB2312"/>
                      <w:sz w:val="20"/>
                    </w:rPr>
                    <w:t>10.数控刀架：立式四工位刀架</w:t>
                  </w:r>
                </w:p>
                <w:p>
                  <w:pPr>
                    <w:pStyle w:val="null3"/>
                    <w:jc w:val="both"/>
                  </w:pPr>
                  <w:r>
                    <w:rPr>
                      <w:rFonts w:ascii="仿宋_GB2312" w:hAnsi="仿宋_GB2312" w:cs="仿宋_GB2312" w:eastAsia="仿宋_GB2312"/>
                      <w:sz w:val="20"/>
                    </w:rPr>
                    <w:t>11.刀柄尺寸：20mm×20mm</w:t>
                  </w:r>
                </w:p>
                <w:p>
                  <w:pPr>
                    <w:pStyle w:val="null3"/>
                    <w:jc w:val="both"/>
                  </w:pPr>
                  <w:r>
                    <w:rPr>
                      <w:rFonts w:ascii="仿宋_GB2312" w:hAnsi="仿宋_GB2312" w:cs="仿宋_GB2312" w:eastAsia="仿宋_GB2312"/>
                      <w:sz w:val="20"/>
                    </w:rPr>
                    <w:t>12.快移速度：X≥6m/min、Z≥12m/min</w:t>
                  </w:r>
                </w:p>
                <w:p>
                  <w:pPr>
                    <w:pStyle w:val="null3"/>
                    <w:jc w:val="both"/>
                  </w:pPr>
                  <w:r>
                    <w:rPr>
                      <w:rFonts w:ascii="仿宋_GB2312" w:hAnsi="仿宋_GB2312" w:cs="仿宋_GB2312" w:eastAsia="仿宋_GB2312"/>
                      <w:sz w:val="20"/>
                    </w:rPr>
                    <w:t>13.尾座套筒直径：≥Φ60 mm</w:t>
                  </w:r>
                </w:p>
                <w:p>
                  <w:pPr>
                    <w:pStyle w:val="null3"/>
                    <w:jc w:val="both"/>
                  </w:pPr>
                  <w:r>
                    <w:rPr>
                      <w:rFonts w:ascii="仿宋_GB2312" w:hAnsi="仿宋_GB2312" w:cs="仿宋_GB2312" w:eastAsia="仿宋_GB2312"/>
                      <w:sz w:val="20"/>
                    </w:rPr>
                    <w:t>14.尾座套筒行程：≥140 mm</w:t>
                  </w:r>
                </w:p>
                <w:p>
                  <w:pPr>
                    <w:pStyle w:val="null3"/>
                    <w:jc w:val="both"/>
                  </w:pPr>
                  <w:r>
                    <w:rPr>
                      <w:rFonts w:ascii="仿宋_GB2312" w:hAnsi="仿宋_GB2312" w:cs="仿宋_GB2312" w:eastAsia="仿宋_GB2312"/>
                      <w:sz w:val="20"/>
                    </w:rPr>
                    <w:t>15.尾座套筒锥孔锥度：莫氏4号</w:t>
                  </w:r>
                </w:p>
                <w:p>
                  <w:pPr>
                    <w:pStyle w:val="null3"/>
                    <w:jc w:val="both"/>
                  </w:pPr>
                  <w:r>
                    <w:rPr>
                      <w:rFonts w:ascii="仿宋_GB2312" w:hAnsi="仿宋_GB2312" w:cs="仿宋_GB2312" w:eastAsia="仿宋_GB2312"/>
                      <w:sz w:val="20"/>
                    </w:rPr>
                    <w:t>16.加工精度：IT6-IT7</w:t>
                  </w:r>
                </w:p>
                <w:p>
                  <w:pPr>
                    <w:pStyle w:val="null3"/>
                    <w:jc w:val="both"/>
                  </w:pPr>
                  <w:r>
                    <w:rPr>
                      <w:rFonts w:ascii="仿宋_GB2312" w:hAnsi="仿宋_GB2312" w:cs="仿宋_GB2312" w:eastAsia="仿宋_GB2312"/>
                      <w:sz w:val="20"/>
                    </w:rPr>
                    <w:t>17.加工工件圆度(mm)：≤0.004mm</w:t>
                  </w:r>
                </w:p>
                <w:p>
                  <w:pPr>
                    <w:pStyle w:val="null3"/>
                    <w:jc w:val="both"/>
                  </w:pPr>
                  <w:r>
                    <w:rPr>
                      <w:rFonts w:ascii="仿宋_GB2312" w:hAnsi="仿宋_GB2312" w:cs="仿宋_GB2312" w:eastAsia="仿宋_GB2312"/>
                      <w:sz w:val="20"/>
                    </w:rPr>
                    <w:t>18.加工工件圆柱度(mm)：≤0.024mm/300 mm</w:t>
                  </w:r>
                </w:p>
                <w:p>
                  <w:pPr>
                    <w:pStyle w:val="null3"/>
                    <w:jc w:val="both"/>
                  </w:pPr>
                  <w:r>
                    <w:rPr>
                      <w:rFonts w:ascii="仿宋_GB2312" w:hAnsi="仿宋_GB2312" w:cs="仿宋_GB2312" w:eastAsia="仿宋_GB2312"/>
                      <w:sz w:val="20"/>
                    </w:rPr>
                    <w:t>19.加工工件平 面度(mm)：≤0.025mm/Ф300mm</w:t>
                  </w:r>
                </w:p>
                <w:p>
                  <w:pPr>
                    <w:pStyle w:val="null3"/>
                    <w:jc w:val="both"/>
                  </w:pPr>
                  <w:r>
                    <w:rPr>
                      <w:rFonts w:ascii="仿宋_GB2312" w:hAnsi="仿宋_GB2312" w:cs="仿宋_GB2312" w:eastAsia="仿宋_GB2312"/>
                      <w:sz w:val="20"/>
                    </w:rPr>
                    <w:t>20.加工工件表面粗糙度：Ra1.6μm</w:t>
                  </w:r>
                </w:p>
                <w:p>
                  <w:pPr>
                    <w:pStyle w:val="null3"/>
                    <w:jc w:val="both"/>
                  </w:pPr>
                  <w:r>
                    <w:rPr>
                      <w:rFonts w:ascii="仿宋_GB2312" w:hAnsi="仿宋_GB2312" w:cs="仿宋_GB2312" w:eastAsia="仿宋_GB2312"/>
                      <w:sz w:val="20"/>
                    </w:rPr>
                    <w:t>21.定位精度：X轴(橫向)≤0.018mm;</w:t>
                  </w:r>
                </w:p>
                <w:p>
                  <w:pPr>
                    <w:pStyle w:val="null3"/>
                    <w:ind w:firstLine="1000"/>
                    <w:jc w:val="both"/>
                  </w:pPr>
                  <w:r>
                    <w:rPr>
                      <w:rFonts w:ascii="仿宋_GB2312" w:hAnsi="仿宋_GB2312" w:cs="仿宋_GB2312" w:eastAsia="仿宋_GB2312"/>
                      <w:sz w:val="20"/>
                    </w:rPr>
                    <w:t>Z轴(纵向)≤0.024mm;</w:t>
                  </w:r>
                </w:p>
                <w:p>
                  <w:pPr>
                    <w:pStyle w:val="null3"/>
                    <w:jc w:val="both"/>
                  </w:pPr>
                  <w:r>
                    <w:rPr>
                      <w:rFonts w:ascii="仿宋_GB2312" w:hAnsi="仿宋_GB2312" w:cs="仿宋_GB2312" w:eastAsia="仿宋_GB2312"/>
                      <w:sz w:val="20"/>
                    </w:rPr>
                    <w:t>22.重复定位精度：X轴(橫向)≤0.008mm;</w:t>
                  </w:r>
                </w:p>
                <w:p>
                  <w:pPr>
                    <w:pStyle w:val="null3"/>
                    <w:ind w:firstLine="1400"/>
                    <w:jc w:val="both"/>
                  </w:pPr>
                  <w:r>
                    <w:rPr>
                      <w:rFonts w:ascii="仿宋_GB2312" w:hAnsi="仿宋_GB2312" w:cs="仿宋_GB2312" w:eastAsia="仿宋_GB2312"/>
                      <w:sz w:val="20"/>
                    </w:rPr>
                    <w:t>Z轴(纵向)≤0.013mm;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23.机床防护罩：全封闭型防护</w:t>
                  </w:r>
                </w:p>
                <w:p>
                  <w:pPr>
                    <w:pStyle w:val="null3"/>
                    <w:jc w:val="both"/>
                  </w:pPr>
                  <w:r>
                    <w:rPr>
                      <w:rFonts w:ascii="仿宋_GB2312" w:hAnsi="仿宋_GB2312" w:cs="仿宋_GB2312" w:eastAsia="仿宋_GB2312"/>
                      <w:sz w:val="20"/>
                    </w:rPr>
                    <w:t>24.中心高：距床身200mm，距地面1070mm</w:t>
                  </w:r>
                </w:p>
                <w:p>
                  <w:pPr>
                    <w:pStyle w:val="null3"/>
                    <w:jc w:val="both"/>
                  </w:pPr>
                  <w:r>
                    <w:rPr>
                      <w:rFonts w:ascii="仿宋_GB2312" w:hAnsi="仿宋_GB2312" w:cs="仿宋_GB2312" w:eastAsia="仿宋_GB2312"/>
                      <w:sz w:val="20"/>
                    </w:rPr>
                    <w:t>25.机床尺寸：（长×宽×高）≥2470×1500×1580mm</w:t>
                  </w:r>
                </w:p>
                <w:p>
                  <w:pPr>
                    <w:pStyle w:val="null3"/>
                    <w:jc w:val="both"/>
                  </w:pPr>
                  <w:r>
                    <w:rPr>
                      <w:rFonts w:ascii="仿宋_GB2312" w:hAnsi="仿宋_GB2312" w:cs="仿宋_GB2312" w:eastAsia="仿宋_GB2312"/>
                      <w:sz w:val="20"/>
                    </w:rPr>
                    <w:t>26.机床重量：1960kg</w:t>
                  </w:r>
                </w:p>
                <w:p>
                  <w:pPr>
                    <w:pStyle w:val="null3"/>
                    <w:jc w:val="both"/>
                  </w:pPr>
                  <w:r>
                    <w:rPr>
                      <w:rFonts w:ascii="仿宋_GB2312" w:hAnsi="仿宋_GB2312" w:cs="仿宋_GB2312" w:eastAsia="仿宋_GB2312"/>
                      <w:sz w:val="20"/>
                    </w:rPr>
                    <w:t>27.电器容量：12KVA</w:t>
                  </w:r>
                </w:p>
                <w:p>
                  <w:pPr>
                    <w:pStyle w:val="null3"/>
                    <w:jc w:val="both"/>
                  </w:pPr>
                  <w:r>
                    <w:rPr>
                      <w:rFonts w:ascii="仿宋_GB2312" w:hAnsi="仿宋_GB2312" w:cs="仿宋_GB2312" w:eastAsia="仿宋_GB2312"/>
                      <w:sz w:val="20"/>
                    </w:rPr>
                    <w:t>28.机床主要配置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28.1 数控系统：FANUC 0i-TF-Plus</w:t>
                  </w:r>
                </w:p>
                <w:p>
                  <w:pPr>
                    <w:pStyle w:val="null3"/>
                    <w:jc w:val="both"/>
                  </w:pPr>
                  <w:r>
                    <w:rPr>
                      <w:rFonts w:ascii="仿宋_GB2312" w:hAnsi="仿宋_GB2312" w:cs="仿宋_GB2312" w:eastAsia="仿宋_GB2312"/>
                      <w:sz w:val="20"/>
                    </w:rPr>
                    <w:t>28.2 程序传输：（支持USB/RS232/网线等传输，具有DNC功能）</w:t>
                  </w:r>
                </w:p>
                <w:p>
                  <w:pPr>
                    <w:pStyle w:val="null3"/>
                    <w:jc w:val="both"/>
                  </w:pPr>
                  <w:r>
                    <w:rPr>
                      <w:rFonts w:ascii="仿宋_GB2312" w:hAnsi="仿宋_GB2312" w:cs="仿宋_GB2312" w:eastAsia="仿宋_GB2312"/>
                      <w:sz w:val="20"/>
                    </w:rPr>
                    <w:t>28.3 X、Z轴伺服电机：具备高动态响应特性，定位精度及重复定位精度高，支持过载保护，满足高精度加工需求。</w:t>
                  </w:r>
                </w:p>
                <w:p>
                  <w:pPr>
                    <w:pStyle w:val="null3"/>
                    <w:jc w:val="both"/>
                  </w:pPr>
                  <w:r>
                    <w:rPr>
                      <w:rFonts w:ascii="仿宋_GB2312" w:hAnsi="仿宋_GB2312" w:cs="仿宋_GB2312" w:eastAsia="仿宋_GB2312"/>
                      <w:sz w:val="20"/>
                    </w:rPr>
                    <w:t>28.4 X、Z向丝杠：C3级精密滚珠丝杆，螺距误差小，传动精度高，轴向间隙小，满足连续切削工况下的刚性与精度需求。</w:t>
                  </w:r>
                </w:p>
                <w:p>
                  <w:pPr>
                    <w:pStyle w:val="null3"/>
                    <w:jc w:val="both"/>
                  </w:pPr>
                  <w:r>
                    <w:rPr>
                      <w:rFonts w:ascii="仿宋_GB2312" w:hAnsi="仿宋_GB2312" w:cs="仿宋_GB2312" w:eastAsia="仿宋_GB2312"/>
                      <w:sz w:val="20"/>
                    </w:rPr>
                    <w:t>28.5 轴承：满足机床高速、重载工况，额定动载荷≥50kN，旋转精度P5级，噪音≤65dB(A)，温升≤35℃，采用轴承钢材质（硬度HRC60-64）。</w:t>
                  </w:r>
                </w:p>
                <w:p>
                  <w:pPr>
                    <w:pStyle w:val="null3"/>
                    <w:jc w:val="both"/>
                  </w:pPr>
                  <w:r>
                    <w:rPr>
                      <w:rFonts w:ascii="仿宋_GB2312" w:hAnsi="仿宋_GB2312" w:cs="仿宋_GB2312" w:eastAsia="仿宋_GB2312"/>
                      <w:sz w:val="20"/>
                    </w:rPr>
                    <w:t>28.6 润滑：防护等级需达到IP54</w:t>
                  </w:r>
                </w:p>
                <w:p>
                  <w:pPr>
                    <w:pStyle w:val="null3"/>
                    <w:jc w:val="both"/>
                  </w:pPr>
                  <w:r>
                    <w:rPr>
                      <w:rFonts w:ascii="仿宋_GB2312" w:hAnsi="仿宋_GB2312" w:cs="仿宋_GB2312" w:eastAsia="仿宋_GB2312"/>
                      <w:sz w:val="20"/>
                    </w:rPr>
                    <w:t>28.7 刀架：重复定位高，满足多样化加工需求。</w:t>
                  </w:r>
                </w:p>
                <w:p>
                  <w:pPr>
                    <w:pStyle w:val="null3"/>
                    <w:jc w:val="both"/>
                  </w:pPr>
                  <w:r>
                    <w:rPr>
                      <w:rFonts w:ascii="仿宋_GB2312" w:hAnsi="仿宋_GB2312" w:cs="仿宋_GB2312" w:eastAsia="仿宋_GB2312"/>
                      <w:sz w:val="20"/>
                    </w:rPr>
                    <w:t>28.8 电器：使用安全可靠，故障率小。</w:t>
                  </w:r>
                </w:p>
                <w:p>
                  <w:pPr>
                    <w:pStyle w:val="null3"/>
                    <w:jc w:val="both"/>
                  </w:pPr>
                  <w:r>
                    <w:rPr>
                      <w:rFonts w:ascii="仿宋_GB2312" w:hAnsi="仿宋_GB2312" w:cs="仿宋_GB2312" w:eastAsia="仿宋_GB2312"/>
                      <w:sz w:val="20"/>
                    </w:rPr>
                    <w:t>（二）、数控车床机床特性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1.床身：主机铸件HT300，淬火层2-3mm,采用平床身结构，树脂砂造型，优质铸铁铸造；导轨采用中频淬火磨削和贴塑工艺，具有良好的耐磨性和精度保持性。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2.水箱：移动式独立大容量接屑箱+水箱形式方便使用且不漏水漏屑。</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车削主运动：通过变频系统控制变频电机可实现100-2400r/min（正反转）无级调速，主轴电机功率为7.5kw。该主传动系统经过精心的优化设计，具有传动精度高、功率扭矩特性优良、转速高、传动平稳、结构紧凑的特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4.进给运动：横向（X轴）及纵向（Z轴）进给运动均由伺服电机驱动精密滚珠丝副实现快移和进给运动。床身，齿轮，主轴，刀架等重要部件，原厂生产，杜绝低质量杂牌配件。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5.尾座：尾台带T型定位，机床尾座的设计充分考虑了刚性、带套筒锁紧、承载能力和使用的宜人性，顶紧方式为手动。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6.卡盘：机床配置K11250 250mm手动三爪自定心卡盘</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7.集中润滑：主轴独立油箱及过滤系统，采用集中润滑系统来实现各导轨副，滚珠丝杠和轴承的润滑。润滑泵具有工作状态显示和液压监视等功能。并可随时调整注油周期，有效降低床头温度及铁屑对齿轮磨损。</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8.数控刀架：采用立式四工位数控刀架，具有定位精度高、稳定可靠，应用范围广、结构简单、维修方便等特点。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提供相关的证明材料可以是产品技术说明、检测报告、产品彩页、官网截图、参数承诺说明、界面截图等，需加盖投标人公章。</w:t>
                  </w:r>
                </w:p>
              </w:tc>
            </w:tr>
          </w:tbl>
          <w:p>
            <w:pPr>
              <w:pStyle w:val="null3"/>
              <w:jc w:val="left"/>
            </w:pPr>
            <w:r>
              <w:rPr>
                <w:rFonts w:ascii="仿宋_GB2312" w:hAnsi="仿宋_GB2312" w:cs="仿宋_GB2312" w:eastAsia="仿宋_GB2312"/>
                <w:sz w:val="20"/>
              </w:rPr>
              <w:t>2. CAD/CAM编程工作站：</w:t>
            </w:r>
          </w:p>
          <w:tbl>
            <w:tblPr>
              <w:tblBorders>
                <w:top w:val="none" w:color="000000" w:sz="4"/>
                <w:left w:val="none" w:color="000000" w:sz="4"/>
                <w:bottom w:val="none" w:color="000000" w:sz="4"/>
                <w:right w:val="none" w:color="000000" w:sz="4"/>
                <w:insideH w:val="none"/>
                <w:insideV w:val="none"/>
              </w:tblBorders>
            </w:tblPr>
            <w:tblGrid>
              <w:gridCol w:w="454"/>
              <w:gridCol w:w="2099"/>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2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设备参数</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计算机</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1.CPU: Intel Core i7-14700F</w:t>
                  </w:r>
                </w:p>
                <w:p>
                  <w:pPr>
                    <w:pStyle w:val="null3"/>
                    <w:jc w:val="both"/>
                  </w:pPr>
                  <w:r>
                    <w:rPr>
                      <w:rFonts w:ascii="仿宋_GB2312" w:hAnsi="仿宋_GB2312" w:cs="仿宋_GB2312" w:eastAsia="仿宋_GB2312"/>
                      <w:sz w:val="20"/>
                    </w:rPr>
                    <w:t>2.显卡：独立显卡NVIDIA GeForce RTX4060</w:t>
                  </w:r>
                </w:p>
                <w:p>
                  <w:pPr>
                    <w:pStyle w:val="null3"/>
                    <w:jc w:val="both"/>
                  </w:pPr>
                  <w:r>
                    <w:rPr>
                      <w:rFonts w:ascii="仿宋_GB2312" w:hAnsi="仿宋_GB2312" w:cs="仿宋_GB2312" w:eastAsia="仿宋_GB2312"/>
                      <w:sz w:val="20"/>
                    </w:rPr>
                    <w:t>3.内存容量：≥16GB</w:t>
                  </w:r>
                </w:p>
                <w:p>
                  <w:pPr>
                    <w:pStyle w:val="null3"/>
                    <w:jc w:val="both"/>
                  </w:pPr>
                  <w:r>
                    <w:rPr>
                      <w:rFonts w:ascii="仿宋_GB2312" w:hAnsi="仿宋_GB2312" w:cs="仿宋_GB2312" w:eastAsia="仿宋_GB2312"/>
                      <w:sz w:val="20"/>
                    </w:rPr>
                    <w:t>4.硬盘容量：≥1TB固态硬盘</w:t>
                  </w:r>
                </w:p>
                <w:p>
                  <w:pPr>
                    <w:pStyle w:val="null3"/>
                    <w:jc w:val="both"/>
                  </w:pPr>
                  <w:r>
                    <w:rPr>
                      <w:rFonts w:ascii="仿宋_GB2312" w:hAnsi="仿宋_GB2312" w:cs="仿宋_GB2312" w:eastAsia="仿宋_GB2312"/>
                      <w:sz w:val="20"/>
                    </w:rPr>
                    <w:t>5.电源瓦数：500W白金认证电源</w:t>
                  </w:r>
                </w:p>
                <w:p>
                  <w:pPr>
                    <w:pStyle w:val="null3"/>
                    <w:jc w:val="both"/>
                  </w:pPr>
                  <w:r>
                    <w:rPr>
                      <w:rFonts w:ascii="仿宋_GB2312" w:hAnsi="仿宋_GB2312" w:cs="仿宋_GB2312" w:eastAsia="仿宋_GB2312"/>
                      <w:sz w:val="20"/>
                    </w:rPr>
                    <w:t>6.散热配置：风冷散热</w:t>
                  </w:r>
                </w:p>
                <w:p>
                  <w:pPr>
                    <w:pStyle w:val="null3"/>
                    <w:jc w:val="both"/>
                  </w:pPr>
                  <w:r>
                    <w:rPr>
                      <w:rFonts w:ascii="仿宋_GB2312" w:hAnsi="仿宋_GB2312" w:cs="仿宋_GB2312" w:eastAsia="仿宋_GB2312"/>
                      <w:sz w:val="20"/>
                    </w:rPr>
                    <w:t>7.机箱尺寸：375*170*279（H*W*D）</w:t>
                  </w:r>
                </w:p>
                <w:p>
                  <w:pPr>
                    <w:pStyle w:val="null3"/>
                    <w:jc w:val="both"/>
                  </w:pPr>
                  <w:r>
                    <w:rPr>
                      <w:rFonts w:ascii="仿宋_GB2312" w:hAnsi="仿宋_GB2312" w:cs="仿宋_GB2312" w:eastAsia="仿宋_GB2312"/>
                      <w:sz w:val="20"/>
                    </w:rPr>
                    <w:t>8.显示器：≥27英寸</w:t>
                  </w:r>
                </w:p>
                <w:p>
                  <w:pPr>
                    <w:pStyle w:val="null3"/>
                    <w:jc w:val="both"/>
                  </w:pPr>
                  <w:r>
                    <w:rPr>
                      <w:rFonts w:ascii="仿宋_GB2312" w:hAnsi="仿宋_GB2312" w:cs="仿宋_GB2312" w:eastAsia="仿宋_GB2312"/>
                      <w:sz w:val="20"/>
                    </w:rPr>
                    <w:t>9.显示器分辨率：1920×1080</w:t>
                  </w:r>
                </w:p>
                <w:p>
                  <w:pPr>
                    <w:pStyle w:val="null3"/>
                    <w:jc w:val="both"/>
                  </w:pPr>
                  <w:r>
                    <w:rPr>
                      <w:rFonts w:ascii="仿宋_GB2312" w:hAnsi="仿宋_GB2312" w:cs="仿宋_GB2312" w:eastAsia="仿宋_GB2312"/>
                      <w:sz w:val="20"/>
                    </w:rPr>
                    <w:t>10.显示器色域：72%NTSC</w:t>
                  </w:r>
                </w:p>
              </w:tc>
            </w:tr>
          </w:tbl>
          <w:p>
            <w:pPr>
              <w:pStyle w:val="null3"/>
              <w:jc w:val="left"/>
            </w:pPr>
            <w:r>
              <w:rPr>
                <w:rFonts w:ascii="仿宋_GB2312" w:hAnsi="仿宋_GB2312" w:cs="仿宋_GB2312" w:eastAsia="仿宋_GB2312"/>
                <w:sz w:val="20"/>
              </w:rPr>
              <w:t>3. 便捷式智慧一体机：</w:t>
            </w:r>
          </w:p>
          <w:tbl>
            <w:tblPr>
              <w:tblBorders>
                <w:top w:val="none" w:color="000000" w:sz="4"/>
                <w:left w:val="none" w:color="000000" w:sz="4"/>
                <w:bottom w:val="none" w:color="000000" w:sz="4"/>
                <w:right w:val="none" w:color="000000" w:sz="4"/>
                <w:insideH w:val="none"/>
                <w:insideV w:val="none"/>
              </w:tblBorders>
            </w:tblPr>
            <w:tblGrid>
              <w:gridCol w:w="454"/>
              <w:gridCol w:w="2099"/>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2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设备参数</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移动式智慧黑板</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1.屏幕尺寸：≥86英寸</w:t>
                  </w:r>
                </w:p>
                <w:p>
                  <w:pPr>
                    <w:pStyle w:val="null3"/>
                    <w:jc w:val="both"/>
                  </w:pPr>
                  <w:r>
                    <w:rPr>
                      <w:rFonts w:ascii="仿宋_GB2312" w:hAnsi="仿宋_GB2312" w:cs="仿宋_GB2312" w:eastAsia="仿宋_GB2312"/>
                      <w:sz w:val="20"/>
                    </w:rPr>
                    <w:t>2.处理器：Intel i7处理器</w:t>
                  </w:r>
                </w:p>
                <w:p>
                  <w:pPr>
                    <w:pStyle w:val="null3"/>
                    <w:jc w:val="left"/>
                  </w:pPr>
                  <w:r>
                    <w:rPr>
                      <w:rFonts w:ascii="仿宋_GB2312" w:hAnsi="仿宋_GB2312" w:cs="仿宋_GB2312" w:eastAsia="仿宋_GB2312"/>
                      <w:sz w:val="20"/>
                    </w:rPr>
                    <w:t>3.支持系统：Windows11/Windows10/Windows8/Windows7/WindowsXP/Android/Linux/Mac OS X/Chrome</w:t>
                  </w:r>
                </w:p>
                <w:p>
                  <w:pPr>
                    <w:pStyle w:val="null3"/>
                    <w:jc w:val="both"/>
                  </w:pPr>
                  <w:r>
                    <w:rPr>
                      <w:rFonts w:ascii="仿宋_GB2312" w:hAnsi="仿宋_GB2312" w:cs="仿宋_GB2312" w:eastAsia="仿宋_GB2312"/>
                      <w:sz w:val="20"/>
                    </w:rPr>
                    <w:t>4.显示区域：1895.04(H)×1065.96(V)mm</w:t>
                  </w:r>
                </w:p>
                <w:p>
                  <w:pPr>
                    <w:pStyle w:val="null3"/>
                    <w:jc w:val="both"/>
                  </w:pPr>
                  <w:r>
                    <w:rPr>
                      <w:rFonts w:ascii="仿宋_GB2312" w:hAnsi="仿宋_GB2312" w:cs="仿宋_GB2312" w:eastAsia="仿宋_GB2312"/>
                      <w:sz w:val="20"/>
                    </w:rPr>
                    <w:t>5.分辨率：3840(H)×2160(V)</w:t>
                  </w:r>
                </w:p>
                <w:p>
                  <w:pPr>
                    <w:pStyle w:val="null3"/>
                    <w:jc w:val="both"/>
                  </w:pPr>
                  <w:r>
                    <w:rPr>
                      <w:rFonts w:ascii="仿宋_GB2312" w:hAnsi="仿宋_GB2312" w:cs="仿宋_GB2312" w:eastAsia="仿宋_GB2312"/>
                      <w:sz w:val="20"/>
                    </w:rPr>
                    <w:t>6.工作寿命：≥30000小时</w:t>
                  </w:r>
                </w:p>
                <w:p>
                  <w:pPr>
                    <w:pStyle w:val="null3"/>
                    <w:jc w:val="both"/>
                  </w:pPr>
                  <w:r>
                    <w:rPr>
                      <w:rFonts w:ascii="仿宋_GB2312" w:hAnsi="仿宋_GB2312" w:cs="仿宋_GB2312" w:eastAsia="仿宋_GB2312"/>
                      <w:sz w:val="20"/>
                    </w:rPr>
                    <w:t>7.触摸点数：≥40点触摸</w:t>
                  </w:r>
                </w:p>
                <w:p>
                  <w:pPr>
                    <w:pStyle w:val="null3"/>
                    <w:jc w:val="both"/>
                  </w:pPr>
                  <w:r>
                    <w:rPr>
                      <w:rFonts w:ascii="仿宋_GB2312" w:hAnsi="仿宋_GB2312" w:cs="仿宋_GB2312" w:eastAsia="仿宋_GB2312"/>
                      <w:sz w:val="20"/>
                    </w:rPr>
                    <w:t>8.内存容量：≥8+256G</w:t>
                  </w:r>
                </w:p>
                <w:p>
                  <w:pPr>
                    <w:pStyle w:val="null3"/>
                    <w:jc w:val="both"/>
                  </w:pPr>
                  <w:r>
                    <w:rPr>
                      <w:rFonts w:ascii="仿宋_GB2312" w:hAnsi="仿宋_GB2312" w:cs="仿宋_GB2312" w:eastAsia="仿宋_GB2312"/>
                      <w:sz w:val="20"/>
                    </w:rPr>
                    <w:t>9.ST33支架≥86英寸，触控交互，支持多媒体教学、屏幕共享及数10.控程序演示，配套移动架，钛钢材质。</w:t>
                  </w:r>
                </w:p>
              </w:tc>
            </w:tr>
          </w:tbl>
          <w:p>
            <w:pPr>
              <w:pStyle w:val="null3"/>
              <w:jc w:val="left"/>
            </w:pPr>
            <w:r>
              <w:rPr>
                <w:rFonts w:ascii="仿宋_GB2312" w:hAnsi="仿宋_GB2312" w:cs="仿宋_GB2312" w:eastAsia="仿宋_GB2312"/>
                <w:sz w:val="20"/>
              </w:rPr>
              <w:t>（三）实训场地改造</w:t>
            </w:r>
          </w:p>
          <w:p>
            <w:pPr>
              <w:pStyle w:val="null3"/>
              <w:jc w:val="left"/>
            </w:pPr>
            <w:r>
              <w:rPr>
                <w:rFonts w:ascii="仿宋_GB2312" w:hAnsi="仿宋_GB2312" w:cs="仿宋_GB2312" w:eastAsia="仿宋_GB2312"/>
                <w:sz w:val="20"/>
              </w:rPr>
              <w:t>1.购置6台/套数控车设备，设备按照要求进行摆放，安装调试，保证设备能正常工作及运行，满足使用各项要求。</w:t>
            </w:r>
          </w:p>
          <w:p>
            <w:pPr>
              <w:pStyle w:val="null3"/>
              <w:jc w:val="left"/>
            </w:pPr>
            <w:r>
              <w:rPr>
                <w:rFonts w:ascii="仿宋_GB2312" w:hAnsi="仿宋_GB2312" w:cs="仿宋_GB2312" w:eastAsia="仿宋_GB2312"/>
                <w:sz w:val="20"/>
              </w:rPr>
              <w:t>2.完成 10 台旧机床的搬移校平等工作，将场地原有 10 台旧设备中4台设备搬至指定区域摆放</w:t>
            </w:r>
            <w:r>
              <w:rPr>
                <w:rFonts w:ascii="仿宋_GB2312" w:hAnsi="仿宋_GB2312" w:cs="仿宋_GB2312" w:eastAsia="仿宋_GB2312"/>
                <w:sz w:val="20"/>
              </w:rPr>
              <w:t>，</w:t>
            </w:r>
            <w:r>
              <w:rPr>
                <w:rFonts w:ascii="仿宋_GB2312" w:hAnsi="仿宋_GB2312" w:cs="仿宋_GB2312" w:eastAsia="仿宋_GB2312"/>
                <w:sz w:val="20"/>
              </w:rPr>
              <w:t>6 台设备按照新区域划分重新摆放，所有设备通电并校平，确保设备正常运行。</w:t>
            </w:r>
          </w:p>
          <w:p>
            <w:pPr>
              <w:pStyle w:val="null3"/>
              <w:jc w:val="left"/>
            </w:pPr>
            <w:r>
              <w:rPr>
                <w:rFonts w:ascii="仿宋_GB2312" w:hAnsi="仿宋_GB2312" w:cs="仿宋_GB2312" w:eastAsia="仿宋_GB2312"/>
                <w:sz w:val="20"/>
              </w:rPr>
              <w:t>3.处理原有实训区地坪约200平米，重新规划实训场地的布局，将数控车床实训区、CAD/CAM编程区、教学演示区等功能区域进行合理划分，设置明显的标识和通道，确保学生和教师在实训场地内能够安全、便捷。</w:t>
            </w:r>
          </w:p>
          <w:p>
            <w:pPr>
              <w:pStyle w:val="null3"/>
              <w:jc w:val="left"/>
            </w:pPr>
            <w:r>
              <w:rPr>
                <w:rFonts w:ascii="仿宋_GB2312" w:hAnsi="仿宋_GB2312" w:cs="仿宋_GB2312" w:eastAsia="仿宋_GB2312"/>
                <w:sz w:val="20"/>
              </w:rPr>
              <w:t>五、项目效益分析</w:t>
            </w:r>
          </w:p>
          <w:p>
            <w:pPr>
              <w:pStyle w:val="null3"/>
              <w:jc w:val="left"/>
            </w:pPr>
            <w:r>
              <w:rPr>
                <w:rFonts w:ascii="仿宋_GB2312" w:hAnsi="仿宋_GB2312" w:cs="仿宋_GB2312" w:eastAsia="仿宋_GB2312"/>
                <w:sz w:val="20"/>
              </w:rPr>
              <w:t>（一）教学效益</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1. 提高教学质量：通过设备更新和实训场地改造，为学生提供更加真实、先进的实训环境，使学生能够更好地掌握数控技术的理论知识和实践操作技能，提高教学质量。</w:t>
            </w:r>
          </w:p>
          <w:p>
            <w:pPr>
              <w:pStyle w:val="null3"/>
              <w:jc w:val="left"/>
            </w:pPr>
            <w:r>
              <w:rPr>
                <w:rFonts w:ascii="仿宋_GB2312" w:hAnsi="仿宋_GB2312" w:cs="仿宋_GB2312" w:eastAsia="仿宋_GB2312"/>
                <w:sz w:val="20"/>
              </w:rPr>
              <w:t>2. 丰富教学内容：新购置的设备和软件能够开展更多的实训项目和课程，丰富教学内容，满足不同学生的学习需求。</w:t>
            </w:r>
          </w:p>
          <w:p>
            <w:pPr>
              <w:pStyle w:val="null3"/>
              <w:jc w:val="left"/>
            </w:pPr>
            <w:r>
              <w:rPr>
                <w:rFonts w:ascii="仿宋_GB2312" w:hAnsi="仿宋_GB2312" w:cs="仿宋_GB2312" w:eastAsia="仿宋_GB2312"/>
                <w:sz w:val="20"/>
              </w:rPr>
              <w:t>3. 培养学生创新能力：先进的实训设备和环境有助于激发学生的创新思维和实践能力，培养学生解决实际问题的能力，为学生未来的职业发展打下坚实的基础。</w:t>
            </w:r>
          </w:p>
          <w:p>
            <w:pPr>
              <w:pStyle w:val="null3"/>
              <w:jc w:val="left"/>
            </w:pPr>
            <w:r>
              <w:rPr>
                <w:rFonts w:ascii="仿宋_GB2312" w:hAnsi="仿宋_GB2312" w:cs="仿宋_GB2312" w:eastAsia="仿宋_GB2312"/>
                <w:sz w:val="20"/>
              </w:rPr>
              <w:t>（二）社会效益</w:t>
            </w:r>
          </w:p>
          <w:p>
            <w:pPr>
              <w:pStyle w:val="null3"/>
              <w:jc w:val="left"/>
            </w:pPr>
            <w:r>
              <w:rPr>
                <w:rFonts w:ascii="仿宋_GB2312" w:hAnsi="仿宋_GB2312" w:cs="仿宋_GB2312" w:eastAsia="仿宋_GB2312"/>
                <w:sz w:val="20"/>
              </w:rPr>
              <w:t>1. 为制造业培养人才：为陕西省乃至全国的制造业培养更多高素质的数控技术人才，满足企业对数控技术人才的需求，促进制造业的发展。</w:t>
            </w:r>
          </w:p>
          <w:p>
            <w:pPr>
              <w:pStyle w:val="null3"/>
              <w:jc w:val="left"/>
            </w:pPr>
            <w:r>
              <w:rPr>
                <w:rFonts w:ascii="仿宋_GB2312" w:hAnsi="仿宋_GB2312" w:cs="仿宋_GB2312" w:eastAsia="仿宋_GB2312"/>
                <w:sz w:val="20"/>
              </w:rPr>
              <w:t>2. 提升学校影响力：通过本项目的实施，提升学校在数控技术教育领域的知名度和影响力，吸引更多的学生报考我校数控专业，为学校的发展带来积极的影响。</w:t>
            </w:r>
          </w:p>
          <w:p>
            <w:pPr>
              <w:pStyle w:val="null3"/>
              <w:jc w:val="left"/>
            </w:pPr>
            <w:r>
              <w:rPr>
                <w:rFonts w:ascii="仿宋_GB2312" w:hAnsi="仿宋_GB2312" w:cs="仿宋_GB2312" w:eastAsia="仿宋_GB2312"/>
                <w:sz w:val="20"/>
              </w:rPr>
              <w:t>3. 促进校企合作：项目建设完成后，学校可以与更多的企业开展合作，为企业提供技术服务和人才支持，实现校企共赢。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自甲方签发最终验收合格证书之日起整体质保3年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1.按《中华人民共和国政府采购法》、《中华人民共和国民法典第三编合同》中的相关条款执行。 2.未按合同或招标文件要求提供工程质量不能满足招标人技术要求，采购单位有权终止合同，甚至对供应商违约行为进行追究。 3.供应商的投标文件为签订正式书面合同书不可分割的部分，供货方应履行相应的责任。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1.提供有效合格的统一社会信用代码的营业执照，其他组织经营的须提供合法凭证，自然人的提供身份证明文件; 2.税收缴纳证明：提供2025年1月1日至今已缴纳的任意一个月的纳税证明或完税证明，时间以税款所属日期为准、税种为任意税种)，凭据应有税务机关或代收机关的公章或业务专用章。依法免税的单位应提供相关证明材料； 3.社会保障资金缴纳证明：提供2025年1月1日至今已缴存的任意一个月的社会保障资金缴存单据或社保机构开具的社会保险参保缴费情况证明，依法不需要缴纳社会保障资金的单位应提供相关证明材料； 4.参加政府采购活动前三年内，在经营活动中没有重大违法记录的书面声明； 5.具备履行合同所必须的设备和专业技术能力的书面声明。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提供2023年或2024年度的财务审计报告（成立时间至提交投标文件截止时间不足一年的，可提供成立后任意时段的资产负债表），或其基本存款账户开户银行出具截止投标日期前半年内有效的资信证明；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中小企业声明函 商务应答表 商务要求.docx 技术要求.docx 投标人业绩情况.docx 分项报价表.docx 技术偏离表.docx 投标函 陕西省政府采购投标人拒绝政府采购领域商业贿赂承诺书.docx 残疾人福利性单位声明函 标的清单 投标文件封面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政府采购严重违法失信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商务要求.docx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本项目不专门面向中小企业采购。 参与的供应商（联合体）提供的货物全部由符合政策要求的中小企业制造。 1.《政府采购促进中小企业发展管理办法》（财库〔2020〕46号）； 2.《财政部司法部关于政府采购支持监狱企业发展有关问题的通知》（财库〔2014〕68号）； 3.《国务院办公厅关于建立政府强制采购节能产品制度的通知》（国办发〔2007〕51号）； 4.《财政部 环保总局关于环境标志产品政府采购实施的意见》（财库〔2006〕90号）； 5.《财政部 国家发展改革委关于印发〈节能产品政府采购实施意见〉的通知》（财库〔2004〕185号）； 6.《财政部 民政部 中国残疾人联合会关于促进残疾人就业政府采购政策的通知》（财库〔2017〕141号）； 7.《财政部 发展改革委 生态环境部市场监管总局关于调整优化节能产品、环境标志产品政府采购执行机制的通知》（财库〔2019〕9号）； 8.《关于印发环境标志产品政府采购品目清单的通知》（财库〔2019〕18号）；9.《关于印发节能产品政府采购品目清单的通知》（财库〔2019〕19号）; 10.《财政部 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“★”的参数需求为实质性要求，供应商必须响应并满足的参数需求。不满足按照无效处理</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所有产品完全复制招标文 件技术指标要求的，给予5分，▲参数均满足采购要求且证明材料提供完整得6分，每出现一项负偏离或缺失一项证明材料扣2分，扣完为止；未标注特殊符号的扣1分，扣完为止；评审依据为相应的功能证明材料。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具有完整的项目实施方案，包括项目总体实施方案、项目实施难点分析、项目实施原则、项目组织方案等内容，方案合理、可行、符合要求计(6-10)分；提供的方案不全或内容简单计(1-5)分，未提供不得分。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品货源渠道正规，确保生产供应商的产品无假货、水货、翻新货且无产权纠纷，备品配件有保障， 提供产品货源渠道证明材料（包括但不限于销售协议、代理协议、原厂授权等），按其响应程度计(0-5)分；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技术要求.docx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在产品配送过程和产品使用过程中出现质量问题后的补救措施等方面提供应急预案：应急预案完善可靠，全面性、适用性、合理性满足项目需求的得(4-8)分；应急预案内容有缺项，描述不清楚的得（1-4）分；其他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投标人具有专业的售后服务团队，售后服务方案详细、具体、可行，备品备件及耗材情况说明，投入售后服务人员配置情况、项目交付用户后出现故障响应时间等，根据投标单位的响应情况横向比较下计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 维护和正常使用，根据投标单位的响应情况横向比较下计分，方案全面，应用性强，满足学校基本情况计（5-10分）；提供的方案不全或内容简单计，不符合现实情况(1-5)分，未提供不得分。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投标人根据要求1. 先进性：选择具有先进技术和性能的设备，能够反映数控技术的发展趋势，满足现代制造业的加工需求。 2. 可靠性：设备应具有良好的稳定性和可靠性，减少故障发生的概率，确保实训教学的正常进行。 3. 适用性：设备的功能和性能应与我校数控专业的教学大纲和实训要求相适应，能够满足学生的学习和实践需求。 产品完全满足并优于招标文件要求的功能，安全性、实用性、经济性、先进性强；属于行业内的领先技术或知名品牌的高端优质产品，专业功能强大，运行效率高响应计分（6-9）分：产品能实现招标文件要求的基本功能，所投产品的技术水平为市场上较成熟的一般性技术；属于行业内的中端产品，运行效率较先进产品有差距计分（3-6）分：产品技术较为落后，属于行业内的低端产品，满足招标文件最低要求计分（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技术要求.docx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供应商或产品制造商提供近三年（2021 年1月1日起至今）类似项目业绩，每有1项得1分，最多得3分。 注：1.以合同复印件加盖公章为准。2.时间以合同协议书签订时间为准。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2.满足招标文件实质性要求且最终报价最低的投标人的价格为投标基准价，其价格分为满分30分。 3.投标报价得分=（投标基准价/投标报价）×价格权值（即30%）×100 4.投标报价不完整的，不进入评标标准价的计算，本项得0分。 5.经评委一致认定，投标人的投标最终总报价低于公认市场成本，或超过采购预算,其投标将被拒绝。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详见附件：商务要求.docx</w:t>
      </w:r>
    </w:p>
    <w:p>
      <w:pPr>
        <w:pStyle w:val="null3"/>
        <w:ind w:firstLine="960"/>
      </w:pPr>
      <w:r>
        <w:rPr>
          <w:rFonts w:ascii="仿宋_GB2312" w:hAnsi="仿宋_GB2312" w:cs="仿宋_GB2312" w:eastAsia="仿宋_GB2312"/>
        </w:rPr>
        <w:t>详见附件：技术要求.docx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详见附件：投标人业绩情况.docx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