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版本号：ZX2025-08-2220250902001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荧光光谱仪等设备采购项目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ZX2025-08-22</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荧光光谱仪等设备采购项目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ZX2025-08-22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荧光光谱仪等设备采购项目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本项目为荧光光谱仪等设备采购项目，1批，具体内容详见采购文件第3章。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1、法定代表人授权委托书：法定代表人参加谈判的，须提供身份证；法定代表人授权本单位他人参加谈判的，须提供法定代表人授权委托书。</w:t>
      </w:r>
    </w:p>
    <w:p>
      <w:pPr>
        <w:pStyle w:val="null3"/>
      </w:pPr>
      <w:r>
        <w:rPr>
          <w:rFonts w:ascii="仿宋_GB2312" w:hAnsi="仿宋_GB2312" w:cs="仿宋_GB2312" w:eastAsia="仿宋_GB2312"/>
        </w:rPr>
        <w:t>2、不接受联合体谈判，不允许分包：本项目不接受联合体谈判，不允许分包。供应商应提供《非联合体不分包投标声明》。</w:t>
      </w:r>
    </w:p>
    <w:p>
      <w:pPr>
        <w:pStyle w:val="null3"/>
      </w:pPr>
      <w:r>
        <w:rPr>
          <w:rFonts w:ascii="仿宋_GB2312" w:hAnsi="仿宋_GB2312" w:cs="仿宋_GB2312" w:eastAsia="仿宋_GB2312"/>
        </w:rPr>
        <w:t>3、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029-88302974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张婷 张浥清 马演 蔡丹 王宇轩 曹婷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采购包1保证金金额：20,822.00元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供应商凭成交通知书向采购人缴纳合同金额的5%作为履约保证金，缴纳方式：银行转账、支票/汇票/本票、保函/保险；退还方式：待验收合格后凭收据和验收单复印件无息退还。2.转账账号：西北大学；611301015018001145006；交通银行太白路支行。转账金额到账后，可持银行回执到西北大学国有资产管理处换取收据。3.除不可抗力原因外，如遇下列情况之一者，采购人有权不予退还投标人所缴纳的合同履约保证金，作为对采购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代理服务费收费标准：参照国家计委计价格[2002]1980号及发改办价格[2003]857号通知规定下浮20%收取，由中标人支付代理服务费。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张婷</w:t>
      </w:r>
    </w:p>
    <w:p>
      <w:pPr>
        <w:pStyle w:val="null3"/>
      </w:pPr>
      <w:r>
        <w:rPr>
          <w:rFonts w:ascii="仿宋_GB2312" w:hAnsi="仿宋_GB2312" w:cs="仿宋_GB2312" w:eastAsia="仿宋_GB2312"/>
        </w:rPr>
        <w:t>联系电话：029-88110800转8025（493059132@qq.com）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本项目为荧光光谱仪等设备采购项目，1批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半导体分析仪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荧光光谱仪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标的名称：半导体分析仪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1.半导体分析仪主机一套：可以同步查看电流电压(I-V)、电容电压(C-V)，系统配置包含：一台主机+两个源测量单元 +电容电压测试单元一个+测试夹具盒一个；</w:t>
            </w:r>
          </w:p>
          <w:p>
            <w:pPr>
              <w:pStyle w:val="null3"/>
            </w:pPr>
            <w:r>
              <w:rPr>
                <w:rFonts w:ascii="仿宋_GB2312" w:hAnsi="仿宋_GB2312" w:cs="仿宋_GB2312" w:eastAsia="仿宋_GB2312"/>
              </w:rPr>
              <w:t>2.半导体分析仪系统主机具备计算机配置： CPU主频≥2GHz，硬盘容量≥120GB,带刻录CD驱动器，4个以上USB接口，内置100/10 MB以太网络接口，12英寸以上液晶显示器, Windows 操作系统，可以外接显示器；</w:t>
            </w:r>
          </w:p>
          <w:p>
            <w:pPr>
              <w:pStyle w:val="null3"/>
            </w:pPr>
            <w:r>
              <w:rPr>
                <w:rFonts w:ascii="仿宋_GB2312" w:hAnsi="仿宋_GB2312" w:cs="仿宋_GB2312" w:eastAsia="仿宋_GB2312"/>
              </w:rPr>
              <w:t>3.系统扩展性：半导体分析系统后面板具有不少于9个基于PCI总线的插槽，用于插入核心测量部件—SMU，插槽的设计采用竖型插入方式，这样可以最大程度地进行系统散热；</w:t>
            </w:r>
          </w:p>
          <w:p>
            <w:pPr>
              <w:pStyle w:val="null3"/>
            </w:pPr>
            <w:r>
              <w:rPr>
                <w:rFonts w:ascii="仿宋_GB2312" w:hAnsi="仿宋_GB2312" w:cs="仿宋_GB2312" w:eastAsia="仿宋_GB2312"/>
              </w:rPr>
              <w:t>4.电压源输出：≥210V；</w:t>
            </w:r>
          </w:p>
          <w:p>
            <w:pPr>
              <w:pStyle w:val="null3"/>
            </w:pPr>
            <w:r>
              <w:rPr>
                <w:rFonts w:ascii="仿宋_GB2312" w:hAnsi="仿宋_GB2312" w:cs="仿宋_GB2312" w:eastAsia="仿宋_GB2312"/>
              </w:rPr>
              <w:t>5.电压源设定分辨率：≦5μV；</w:t>
            </w:r>
          </w:p>
          <w:p>
            <w:pPr>
              <w:pStyle w:val="null3"/>
            </w:pPr>
            <w:r>
              <w:rPr>
                <w:rFonts w:ascii="仿宋_GB2312" w:hAnsi="仿宋_GB2312" w:cs="仿宋_GB2312" w:eastAsia="仿宋_GB2312"/>
              </w:rPr>
              <w:t>6.电流输出：≥100mA；</w:t>
            </w:r>
          </w:p>
          <w:p>
            <w:pPr>
              <w:pStyle w:val="null3"/>
            </w:pPr>
            <w:r>
              <w:rPr>
                <w:rFonts w:ascii="仿宋_GB2312" w:hAnsi="仿宋_GB2312" w:cs="仿宋_GB2312" w:eastAsia="仿宋_GB2312"/>
              </w:rPr>
              <w:t>7.电流源设定分辨率：≦1.5fA；</w:t>
            </w:r>
          </w:p>
          <w:p>
            <w:pPr>
              <w:pStyle w:val="null3"/>
            </w:pPr>
            <w:r>
              <w:rPr>
                <w:rFonts w:ascii="仿宋_GB2312" w:hAnsi="仿宋_GB2312" w:cs="仿宋_GB2312" w:eastAsia="仿宋_GB2312"/>
              </w:rPr>
              <w:t>8.电压测量范围：1μV-200V；</w:t>
            </w:r>
          </w:p>
          <w:p>
            <w:pPr>
              <w:pStyle w:val="null3"/>
            </w:pPr>
            <w:r>
              <w:rPr>
                <w:rFonts w:ascii="仿宋_GB2312" w:hAnsi="仿宋_GB2312" w:cs="仿宋_GB2312" w:eastAsia="仿宋_GB2312"/>
              </w:rPr>
              <w:t>9.电流测量范围：≥100mA；</w:t>
            </w:r>
          </w:p>
          <w:p>
            <w:pPr>
              <w:pStyle w:val="null3"/>
            </w:pPr>
            <w:r>
              <w:rPr>
                <w:rFonts w:ascii="仿宋_GB2312" w:hAnsi="仿宋_GB2312" w:cs="仿宋_GB2312" w:eastAsia="仿宋_GB2312"/>
              </w:rPr>
              <w:t>10.电流测量分辨率：≦0.01fA（需提供彩页，官网截图等佐证资料）；</w:t>
            </w:r>
          </w:p>
          <w:p>
            <w:pPr>
              <w:pStyle w:val="null3"/>
            </w:pPr>
            <w:r>
              <w:rPr>
                <w:rFonts w:ascii="仿宋_GB2312" w:hAnsi="仿宋_GB2312" w:cs="仿宋_GB2312" w:eastAsia="仿宋_GB2312"/>
              </w:rPr>
              <w:t>11.电流测量精度：≦10fA（需提供彩页，官网截图等佐证资料）；</w:t>
            </w:r>
          </w:p>
          <w:p>
            <w:pPr>
              <w:pStyle w:val="null3"/>
            </w:pPr>
            <w:r>
              <w:rPr>
                <w:rFonts w:ascii="仿宋_GB2312" w:hAnsi="仿宋_GB2312" w:cs="仿宋_GB2312" w:eastAsia="仿宋_GB2312"/>
              </w:rPr>
              <w:t>12.电容电压单元测量频率范围：1KHz-10MHz变频（需提供彩页，官网截图等佐证资料）；</w:t>
            </w:r>
          </w:p>
          <w:p>
            <w:pPr>
              <w:pStyle w:val="null3"/>
            </w:pPr>
            <w:r>
              <w:rPr>
                <w:rFonts w:ascii="仿宋_GB2312" w:hAnsi="仿宋_GB2312" w:cs="仿宋_GB2312" w:eastAsia="仿宋_GB2312"/>
              </w:rPr>
              <w:t>13. C-V测量偏置电压：≥ 60V（需提供彩页，官网截图等佐证资料）；</w:t>
            </w:r>
          </w:p>
          <w:p>
            <w:pPr>
              <w:pStyle w:val="null3"/>
            </w:pPr>
            <w:r>
              <w:rPr>
                <w:rFonts w:ascii="仿宋_GB2312" w:hAnsi="仿宋_GB2312" w:cs="仿宋_GB2312" w:eastAsia="仿宋_GB2312"/>
              </w:rPr>
              <w:t xml:space="preserve">14.提供样板测量例程，包括但不限于：MOSFET，双极器件，晶体管器件，晶体管电容器，电阻器，二极管； </w:t>
            </w:r>
          </w:p>
          <w:p>
            <w:pPr>
              <w:pStyle w:val="null3"/>
            </w:pPr>
            <w:r>
              <w:rPr>
                <w:rFonts w:ascii="仿宋_GB2312" w:hAnsi="仿宋_GB2312" w:cs="仿宋_GB2312" w:eastAsia="仿宋_GB2312"/>
              </w:rPr>
              <w:t>15.电容测量单元可测试参数（包括但不限于）：Cp-G, Cp-D, Cp-Q, Cp-Rp, Cs-Rs, Cs-D, Cs-Q, Lp-G, Lp-D, Lp-Q, Lp-Rp, Ls-Rs, Ls-D, Ls-Q, R-X, G-B等；</w:t>
            </w:r>
          </w:p>
          <w:p>
            <w:pPr>
              <w:pStyle w:val="null3"/>
            </w:pPr>
            <w:r>
              <w:rPr>
                <w:rFonts w:ascii="仿宋_GB2312" w:hAnsi="仿宋_GB2312" w:cs="仿宋_GB2312" w:eastAsia="仿宋_GB2312"/>
              </w:rPr>
              <w:t>16.测试夹具盒一个：三同轴电缆4根，SMA电缆2根。</w:t>
            </w:r>
          </w:p>
          <w:p>
            <w:pPr>
              <w:pStyle w:val="null3"/>
            </w:pPr>
            <w:r>
              <w:rPr>
                <w:rFonts w:ascii="仿宋_GB2312" w:hAnsi="仿宋_GB2312" w:cs="仿宋_GB2312" w:eastAsia="仿宋_GB2312"/>
              </w:rPr>
              <w:t>17.具备自测试、自校准及诊断能力；</w:t>
            </w:r>
          </w:p>
          <w:p>
            <w:pPr>
              <w:pStyle w:val="null3"/>
            </w:pPr>
            <w:r>
              <w:rPr>
                <w:rFonts w:ascii="仿宋_GB2312" w:hAnsi="仿宋_GB2312" w:cs="仿宋_GB2312" w:eastAsia="仿宋_GB2312"/>
              </w:rPr>
              <w:t>18.高温等于或优于200度；</w:t>
            </w:r>
          </w:p>
          <w:p>
            <w:pPr>
              <w:pStyle w:val="null3"/>
            </w:pPr>
            <w:r>
              <w:rPr>
                <w:rFonts w:ascii="仿宋_GB2312" w:hAnsi="仿宋_GB2312" w:cs="仿宋_GB2312" w:eastAsia="仿宋_GB2312"/>
              </w:rPr>
              <w:t>19.探针微调行程等于或优于20mm，精度等于或优于1um。</w:t>
            </w:r>
          </w:p>
          <w:p>
            <w:pPr>
              <w:pStyle w:val="null3"/>
            </w:pPr>
            <w:r>
              <w:rPr>
                <w:rFonts w:ascii="仿宋_GB2312" w:hAnsi="仿宋_GB2312" w:cs="仿宋_GB2312" w:eastAsia="仿宋_GB2312"/>
              </w:rPr>
              <w:t>注：1、以上所有技术指标必须满足要求没有负偏离，否则按无效文件处理；</w:t>
            </w:r>
          </w:p>
          <w:p>
            <w:pPr>
              <w:pStyle w:val="null3"/>
            </w:pPr>
            <w:r>
              <w:rPr>
                <w:rFonts w:ascii="仿宋_GB2312" w:hAnsi="仿宋_GB2312" w:cs="仿宋_GB2312" w:eastAsia="仿宋_GB2312"/>
              </w:rPr>
              <w:t>2、要求提供佐证材料的必须提供，否则视为负偏离，按无效文件处理。</w:t>
            </w:r>
          </w:p>
        </w:tc>
      </w:tr>
    </w:tbl>
    <w:p>
      <w:pPr>
        <w:pStyle w:val="null3"/>
      </w:pPr>
      <w:r>
        <w:rPr>
          <w:rFonts w:ascii="仿宋_GB2312" w:hAnsi="仿宋_GB2312" w:cs="仿宋_GB2312" w:eastAsia="仿宋_GB2312"/>
        </w:rPr>
        <w:t>标的名称：荧光光谱仪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1.氙灯150W，寿命≥2000小时</w:t>
            </w:r>
          </w:p>
          <w:p>
            <w:pPr>
              <w:pStyle w:val="null3"/>
            </w:pPr>
            <w:r>
              <w:rPr>
                <w:rFonts w:ascii="仿宋_GB2312" w:hAnsi="仿宋_GB2312" w:cs="仿宋_GB2312" w:eastAsia="仿宋_GB2312"/>
              </w:rPr>
              <w:t>2.光谱范围等于或优于200-980nm；</w:t>
            </w:r>
          </w:p>
          <w:p>
            <w:pPr>
              <w:pStyle w:val="null3"/>
            </w:pPr>
            <w:r>
              <w:rPr>
                <w:rFonts w:ascii="仿宋_GB2312" w:hAnsi="仿宋_GB2312" w:cs="仿宋_GB2312" w:eastAsia="仿宋_GB2312"/>
              </w:rPr>
              <w:t>3.汞灯校正，以汞灯校准波长，确保长期波长稳定性；</w:t>
            </w:r>
          </w:p>
          <w:p>
            <w:pPr>
              <w:pStyle w:val="null3"/>
            </w:pPr>
            <w:r>
              <w:rPr>
                <w:rFonts w:ascii="仿宋_GB2312" w:hAnsi="仿宋_GB2312" w:cs="仿宋_GB2312" w:eastAsia="仿宋_GB2312"/>
              </w:rPr>
              <w:t>4.信噪比水拉曼等于或优于1400：1（需要提供彩页，官网截图等佐证材料）；</w:t>
            </w:r>
          </w:p>
          <w:p>
            <w:pPr>
              <w:pStyle w:val="null3"/>
            </w:pPr>
            <w:r>
              <w:rPr>
                <w:rFonts w:ascii="仿宋_GB2312" w:hAnsi="仿宋_GB2312" w:cs="仿宋_GB2312" w:eastAsia="仿宋_GB2312"/>
              </w:rPr>
              <w:t>5.光谱分辨率等于或优于2nm；</w:t>
            </w:r>
          </w:p>
          <w:p>
            <w:pPr>
              <w:pStyle w:val="null3"/>
            </w:pPr>
            <w:r>
              <w:rPr>
                <w:rFonts w:ascii="仿宋_GB2312" w:hAnsi="仿宋_GB2312" w:cs="仿宋_GB2312" w:eastAsia="仿宋_GB2312"/>
              </w:rPr>
              <w:t>6.光谱带宽调节1nm，2nm，5nm，10nm，20nm；</w:t>
            </w:r>
          </w:p>
          <w:p>
            <w:pPr>
              <w:pStyle w:val="null3"/>
            </w:pPr>
            <w:r>
              <w:rPr>
                <w:rFonts w:ascii="仿宋_GB2312" w:hAnsi="仿宋_GB2312" w:cs="仿宋_GB2312" w:eastAsia="仿宋_GB2312"/>
              </w:rPr>
              <w:t>7.波长精确度等于或优于2nm；</w:t>
            </w:r>
          </w:p>
          <w:p>
            <w:pPr>
              <w:pStyle w:val="null3"/>
            </w:pPr>
            <w:r>
              <w:rPr>
                <w:rFonts w:ascii="仿宋_GB2312" w:hAnsi="仿宋_GB2312" w:cs="仿宋_GB2312" w:eastAsia="仿宋_GB2312"/>
              </w:rPr>
              <w:t>8.波长重复性等于或优于0.3nm；</w:t>
            </w:r>
          </w:p>
          <w:p>
            <w:pPr>
              <w:pStyle w:val="null3"/>
            </w:pPr>
            <w:r>
              <w:rPr>
                <w:rFonts w:ascii="仿宋_GB2312" w:hAnsi="仿宋_GB2312" w:cs="仿宋_GB2312" w:eastAsia="仿宋_GB2312"/>
              </w:rPr>
              <w:t>9.帕尔贴控温范围覆盖0-100℃；</w:t>
            </w:r>
          </w:p>
          <w:p>
            <w:pPr>
              <w:pStyle w:val="null3"/>
            </w:pPr>
            <w:r>
              <w:rPr>
                <w:rFonts w:ascii="仿宋_GB2312" w:hAnsi="仿宋_GB2312" w:cs="仿宋_GB2312" w:eastAsia="仿宋_GB2312"/>
              </w:rPr>
              <w:t>10.吸收光谱测试范围等于或优于190-900nm。</w:t>
            </w:r>
          </w:p>
          <w:p>
            <w:pPr>
              <w:pStyle w:val="null3"/>
            </w:pPr>
            <w:r>
              <w:rPr>
                <w:rFonts w:ascii="仿宋_GB2312" w:hAnsi="仿宋_GB2312" w:cs="仿宋_GB2312" w:eastAsia="仿宋_GB2312"/>
              </w:rPr>
              <w:t>注：1、以上所有技术指标必须满足要求没有负偏离，否则按无效文件处理；</w:t>
            </w:r>
          </w:p>
          <w:p>
            <w:pPr>
              <w:pStyle w:val="null3"/>
            </w:pPr>
            <w:r>
              <w:rPr>
                <w:rFonts w:ascii="仿宋_GB2312" w:hAnsi="仿宋_GB2312" w:cs="仿宋_GB2312" w:eastAsia="仿宋_GB2312"/>
              </w:rPr>
              <w:t>2、要求提供佐证材料的必须提供，否则视为负偏离，按无效文件处理。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半导体分析仪：合同签订后90日内供货，10日内安装调试到位并交付使用； 荧光光谱仪：自合同签订之日起60天内到货，7天内安装调试并交付使用。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西北大学长安校区指定地点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①国产设备：合同生效后，成交供应商开具合同金额等额银行保函，采购人收到银行保函正本后预付合同货款，待货物到达指定地点、安装调试验收合格后，采购人退还银行保函正本。②进口设备：合同生效后，由采购人通过进出口业务代理公司向供应商开出100％信用证，待货物到货、安装调试、并经学校组织验收合格后，由采购人通知进出口业务代理公司向成交供应商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 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1、质保期：荧光光谱仪：自学校验收合格之日起1年；半导体分析仪：自学校验收合格之日起3年。 2、即时响应（包括电话响应）；电话响应无法解决时，24小时内到达现场。修复时间24小时内；如24小时内无法修复，应提供相应解决方案。 3、7×24小时服务，并提供相关培训。</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投标文件正本壹份、副本壹份、电子版壹份（U盘一份，标明投标人名称，随正本密封）。若电子投标文件与纸质投标文件不一致的，以电子投标文件为准；若正本和副本不符，以正本为准。线下递交文件时间：详见本项目招标公告文件截止时间；线下递交文件地点：西安市莲湖区环城西路南段元晟合中心6层。 2、投标保证金注意事项：（1）投标保证金须从投标人户名支付，如从个人户名或非投标人户名支付，将被拒绝，视为自动放弃投标权利（该个人是供应商的情形除外）；投标保证金缴纳时间：开标时间之前；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 （4）未按指定账户提交的，我公司将退回，投标人须在文件递交截止时间前按照指定账户再次提交。 3、投标人无正当理由拒签合同的，或在接到中标通知书规定的时间内，借故拖延、拒签合同者，采购人取消其中标资格，其投标保证金不予退还； 给采购人造成的损失超过投标保证金数额的，供应商还应对超过部分予以赔偿。同时报请政府采购监督机构通报全省，取消其进入政府采购市场的资格，并按规定予以处罚。 4、①进口设备报价：响应报价是指到达使用地点、验收合格达到正常使用条件前的所有费用，包括但不限于以下费用：货物价值、安装调试费、国内外运杂费（含保险）、仓储保管费、技术培训费、检测费、施工费、人工费、进口业务相关费用（按合同金额的0.68%收取。包括外贸代理公司进口业务代理费、国内外银行手续费、报关费、商检费等）及进口货物按国家政策征收的一切税费（按国家政策规定甲方可以享受的免税部分除外）等，以磋商文件的内容和要求作为响应依据；进口产品（经专家论证允许采购的情况下）按人民币报价，此报价不受市场价格及外汇汇率波动影响。采购人及招标代理机构不接受任何未办理合法进口手续的非国内生产产品的响应报价。供应商所提供的产品型号、产地等重要信息，需要与仪器机身保持一致。因供应商原因（有且不限于型号有误、出具的净重、参数等证明有误、保税区内税号问题等）造成进口货物无法正常报关产生的一切后果及费用由供应商自行承担。最终无法清关的，供应商须重新发运外贸合同中约定的货物。②国产设备报价：响应总报价是指设备到达使用地点、验收合格达到正常使用条件前的所有费用，包括但不限于以下费用：货物价值、安装调试费、国内外运杂费（含保险）、仓储保管费、技术培训费、检测费、施工费、人工费等及按国家政策征收的一切税费等。③响应报价表中标明本次货物、服务的所有单项价格和总价，任何有选择的报价将不予接受，否则按无效响应处理。5、本项目通过进口产品备案，允许采购进口产品：半导体分析仪、荧光光谱仪。 6、本项目主要标的：荧光光谱仪。7、单台设备最高限价：半导体分析仪：50万；荧光光谱仪：60万。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供应商应提供相关文件证明； ③社会保障资金缴纳证明：提供自2024年8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有效的2024年度审计报告（成立时间至提交响应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法定代表人参加谈判的，须提供身份证；法定代表人授权本单位他人参加谈判的，须提供法定代表人授权委托书。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不接受联合体谈判，不允许分包</w:t>
            </w:r>
          </w:p>
        </w:tc>
        <w:tc>
          <w:tcPr>
            <w:tcW w:type="dxa" w:w="3322"/>
          </w:tcPr>
          <w:p>
            <w:pPr>
              <w:pStyle w:val="null3"/>
            </w:pPr>
            <w:r>
              <w:rPr>
                <w:rFonts w:ascii="仿宋_GB2312" w:hAnsi="仿宋_GB2312" w:cs="仿宋_GB2312" w:eastAsia="仿宋_GB2312"/>
              </w:rPr>
              <w:t>本项目不接受联合体谈判，不允许分包。供应商应提供《非联合体不分包投标声明》。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响应处理：(1)响应文件未按照谈判文件规定要求签署、盖章的；(2)不满足本谈判文件中“交货时间、交货地点、采购资金的支付方式及约定、质量保修范围和保修期、3.5其他要求第4条”的实质性条款要求的；(3)响应有效期不足的或无有效期的；(4)报价超过谈判文件中规定的采购预算或最高限价或单台设备最高限价的； (5)法律、法规和谈判文件规定的其他无效情形。</w:t>
            </w:r>
          </w:p>
        </w:tc>
        <w:tc>
          <w:tcPr>
            <w:tcW w:type="dxa" w:w="1661"/>
          </w:tcPr>
          <w:p>
            <w:pPr>
              <w:pStyle w:val="null3"/>
            </w:pPr>
            <w:r>
              <w:rPr>
                <w:rFonts w:ascii="仿宋_GB2312" w:hAnsi="仿宋_GB2312" w:cs="仿宋_GB2312" w:eastAsia="仿宋_GB2312"/>
              </w:rPr>
              <w:t>响应文件封面 技术方案及实施方案、组织机构、售后服务承诺.docx 中小企业声明函 残疾人福利性单位声明函 投标担保函、履约担保函格式及公章授权书.docx 标的清单 报价表 商务应答表.docx 响应函 技术响应与偏离表.docx 监狱企业的证明文件 分项价格表.docx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详见附件：技术方案及实施方案、组织机构、售后服务承诺.docx</w:t>
      </w:r>
    </w:p>
    <w:p>
      <w:pPr>
        <w:pStyle w:val="null3"/>
        <w:ind w:firstLine="960"/>
      </w:pPr>
      <w:r>
        <w:rPr>
          <w:rFonts w:ascii="仿宋_GB2312" w:hAnsi="仿宋_GB2312" w:cs="仿宋_GB2312" w:eastAsia="仿宋_GB2312"/>
        </w:rPr>
        <w:t>详见附件：投标担保函、履约担保函格式及公章授权书.docx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详见附件：合同正文.docx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