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版本号：HCKPZY-ZB-202505120250905002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避险搬迁过渡用房改造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HCKPZY-ZB-2025051</w:t>
      </w:r>
      <w:r>
        <w:br/>
      </w:r>
      <w:r>
        <w:br/>
      </w:r>
      <w:r>
        <w:br/>
      </w:r>
    </w:p>
    <w:p>
      <w:pPr>
        <w:pStyle w:val="null3"/>
        <w:jc w:val="center"/>
        <w:outlineLvl w:val="2"/>
      </w:pPr>
      <w:r>
        <w:rPr>
          <w:rFonts w:ascii="仿宋_GB2312" w:hAnsi="仿宋_GB2312" w:cs="仿宋_GB2312" w:eastAsia="仿宋_GB2312"/>
          <w:sz w:val="28"/>
          <w:b/>
        </w:rPr>
        <w:t>陕西省交通医院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避险搬迁过渡用房改造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HCKPZY-ZB-2025051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避险搬迁过渡用房改造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陕西省交通医院避险搬迁过渡用房改造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8、外地企业备案：外地企业提供在“陕西省建筑市场监管与诚信信息一体化平台”上登记的基本信息界面截图</w:t>
      </w:r>
    </w:p>
    <w:p>
      <w:pPr>
        <w:pStyle w:val="null3"/>
      </w:pPr>
      <w:r>
        <w:rPr>
          <w:rFonts w:ascii="仿宋_GB2312" w:hAnsi="仿宋_GB2312" w:cs="仿宋_GB2312" w:eastAsia="仿宋_GB2312"/>
        </w:rPr>
        <w:t>9、施工资质：具备建筑工程施工总承包三级及以上资质，同时具备有效期内的安全生产许可证</w:t>
      </w:r>
    </w:p>
    <w:p>
      <w:pPr>
        <w:pStyle w:val="null3"/>
      </w:pPr>
      <w:r>
        <w:rPr>
          <w:rFonts w:ascii="仿宋_GB2312" w:hAnsi="仿宋_GB2312" w:cs="仿宋_GB2312" w:eastAsia="仿宋_GB2312"/>
        </w:rPr>
        <w:t>10、项目经理：拟投入的项目经理须提供在本单位注册的建筑工程专业贰级（含贰级）以上注册建造师证书及有效的安全生产考核合格证，且未担任其他在建工程项目的项目经理（提供无在建工程的承诺函）</w:t>
      </w:r>
    </w:p>
    <w:p>
      <w:pPr>
        <w:pStyle w:val="null3"/>
      </w:pPr>
      <w:r>
        <w:rPr>
          <w:rFonts w:ascii="仿宋_GB2312" w:hAnsi="仿宋_GB2312" w:cs="仿宋_GB2312" w:eastAsia="仿宋_GB2312"/>
        </w:rPr>
        <w:t>11、非联合体投标：提供非联合体投标声明函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029-88483070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陕西省西安市南二环西段58号成长大厦16楼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18092116036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采购包1：2,109,100.00元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承诺函格式进行承诺</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银行账号：30208471002500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说明：（1）中标人先按要求递交合同金额5%为履约保证金； （2）签订合同后采购人预付合同金额的 40 %； （3）项目竣工验收合格后，采购人支付到合同金额的 100 %； （4）本项目质保金为中标价的 3 %缴纳（履约保证金中的合同总价的3%在项目竣工验收后转为质量保证金）； 付款依据：付款可以分两次完成，合同签订后可以交纳履约保证金或提供银行保函，工程竣工验收后，付清全部工程款。 乙方提供符合国家财税规定的等额发票、甲方出具的验收报告。如因乙方缘故（如开具增值税发票延误等）导致甲方无法按时付款，甲方不承担违约责任。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在100万元以内的按照国家计委关于印发《招标代理服务收费管理暂行办法的通知》(计价格[2002]1980号)的收费标准收取;中标金额100万元及以上的按照国家计委关于印发《招标代理服务收费管理暂行办法的通知》(计价格[2002]1980号)的收费标准下浮 20%。2、本项目代理服务费按工程计取。成交单位在领取成交通知书前，须向采购代理机构一次性支付招标代理服务费；代理服务费以转账、电汇或现金等形式交纳。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联系人：李娜</w:t>
      </w:r>
    </w:p>
    <w:p>
      <w:pPr>
        <w:pStyle w:val="null3"/>
      </w:pPr>
      <w:r>
        <w:rPr>
          <w:rFonts w:ascii="仿宋_GB2312" w:hAnsi="仿宋_GB2312" w:cs="仿宋_GB2312" w:eastAsia="仿宋_GB2312"/>
        </w:rPr>
        <w:t>联系电话：18092116036</w:t>
      </w:r>
    </w:p>
    <w:p>
      <w:pPr>
        <w:pStyle w:val="null3"/>
      </w:pPr>
      <w:r>
        <w:rPr>
          <w:rFonts w:ascii="仿宋_GB2312" w:hAnsi="仿宋_GB2312" w:cs="仿宋_GB2312" w:eastAsia="仿宋_GB2312"/>
        </w:rPr>
        <w:t>地址：陕西省西安市南二环西段58号成长大厦16楼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2,109,100.00</w:t>
      </w:r>
    </w:p>
    <w:p>
      <w:pPr>
        <w:pStyle w:val="null3"/>
      </w:pPr>
      <w:r>
        <w:rPr>
          <w:rFonts w:ascii="仿宋_GB2312" w:hAnsi="仿宋_GB2312" w:cs="仿宋_GB2312" w:eastAsia="仿宋_GB2312"/>
        </w:rPr>
        <w:t>采购包最高限价（元）: 2,109,100.00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避险搬迁过渡用房改造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2,109,100.00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标的名称：避险搬迁过渡用房改造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项目概况</w:t>
            </w:r>
            <w:r>
              <w:rPr>
                <w:rFonts w:ascii="仿宋_GB2312" w:hAnsi="仿宋_GB2312" w:cs="仿宋_GB2312" w:eastAsia="仿宋_GB2312"/>
                <w:sz w:val="20"/>
              </w:rPr>
              <w:t>:</w:t>
            </w:r>
            <w:r>
              <w:rPr>
                <w:rFonts w:ascii="仿宋_GB2312" w:hAnsi="仿宋_GB2312" w:cs="仿宋_GB2312" w:eastAsia="仿宋_GB2312"/>
                <w:sz w:val="21"/>
              </w:rPr>
              <w:t>避险搬迁过渡用房改造项目</w:t>
            </w:r>
            <w:r>
              <w:rPr>
                <w:rFonts w:ascii="仿宋_GB2312" w:hAnsi="仿宋_GB2312" w:cs="仿宋_GB2312" w:eastAsia="仿宋_GB2312"/>
                <w:sz w:val="21"/>
              </w:rPr>
              <w:t>，</w:t>
            </w:r>
            <w:r>
              <w:rPr>
                <w:rFonts w:ascii="仿宋_GB2312" w:hAnsi="仿宋_GB2312" w:cs="仿宋_GB2312" w:eastAsia="仿宋_GB2312"/>
                <w:sz w:val="21"/>
              </w:rPr>
              <w:t>位于碑林区含光北路</w:t>
            </w:r>
            <w:r>
              <w:rPr>
                <w:rFonts w:ascii="仿宋_GB2312" w:hAnsi="仿宋_GB2312" w:cs="仿宋_GB2312" w:eastAsia="仿宋_GB2312"/>
                <w:sz w:val="21"/>
              </w:rPr>
              <w:t>的省公路局</w:t>
            </w:r>
            <w:r>
              <w:rPr>
                <w:rFonts w:ascii="仿宋_GB2312" w:hAnsi="仿宋_GB2312" w:cs="仿宋_GB2312" w:eastAsia="仿宋_GB2312"/>
                <w:sz w:val="21"/>
              </w:rPr>
              <w:t>7号楼，于2005年5月建成使用，地下1层，地上10层，建筑面积约11000平方米。该楼建筑整体状况良好，</w:t>
            </w:r>
            <w:r>
              <w:rPr>
                <w:rFonts w:ascii="仿宋_GB2312" w:hAnsi="仿宋_GB2312" w:cs="仿宋_GB2312" w:eastAsia="仿宋_GB2312"/>
                <w:sz w:val="21"/>
              </w:rPr>
              <w:t>经改造优化后，</w:t>
            </w:r>
            <w:r>
              <w:rPr>
                <w:rFonts w:ascii="仿宋_GB2312" w:hAnsi="仿宋_GB2312" w:cs="仿宋_GB2312" w:eastAsia="仿宋_GB2312"/>
                <w:sz w:val="21"/>
              </w:rPr>
              <w:t>可作为</w:t>
            </w:r>
            <w:r>
              <w:rPr>
                <w:rFonts w:ascii="仿宋_GB2312" w:hAnsi="仿宋_GB2312" w:cs="仿宋_GB2312" w:eastAsia="仿宋_GB2312"/>
                <w:sz w:val="20"/>
              </w:rPr>
              <w:t>陕西省交通医院避险搬迁过渡用房改造</w:t>
            </w:r>
            <w:r>
              <w:rPr>
                <w:rFonts w:ascii="仿宋_GB2312" w:hAnsi="仿宋_GB2312" w:cs="仿宋_GB2312" w:eastAsia="仿宋_GB2312"/>
                <w:sz w:val="21"/>
              </w:rPr>
              <w:t>使用。</w:t>
            </w:r>
          </w:p>
          <w:p>
            <w:pPr>
              <w:pStyle w:val="null3"/>
              <w:jc w:val="both"/>
            </w:pPr>
            <w:r>
              <w:rPr>
                <w:rFonts w:ascii="仿宋_GB2312" w:hAnsi="仿宋_GB2312" w:cs="仿宋_GB2312" w:eastAsia="仿宋_GB2312"/>
                <w:sz w:val="21"/>
              </w:rPr>
              <w:t>采购范围：</w:t>
            </w:r>
            <w:r>
              <w:rPr>
                <w:rFonts w:ascii="仿宋_GB2312" w:hAnsi="仿宋_GB2312" w:cs="仿宋_GB2312" w:eastAsia="仿宋_GB2312"/>
                <w:sz w:val="20"/>
              </w:rPr>
              <w:t>1.原来办公楼10层，现在1-3层改成体检中心；2.一层局部维修、改造，2、3层维修、简装；3.局部新增设备、荷载加大的房间需要对结构进行升级优化，预估190平米；4.强电根据需求布线；5.智能化根据需求增加设备设施；6.增加卫生间及上下水；7.室内隔墙拆改、砌筑；8.根据需求增设室外管线。</w:t>
            </w:r>
            <w:r>
              <w:rPr>
                <w:rFonts w:ascii="仿宋_GB2312" w:hAnsi="仿宋_GB2312" w:cs="仿宋_GB2312" w:eastAsia="仿宋_GB2312"/>
                <w:sz w:val="20"/>
              </w:rPr>
              <w:t>具体详见本项目工程量清单。</w:t>
            </w:r>
          </w:p>
          <w:p>
            <w:pPr>
              <w:pStyle w:val="null3"/>
              <w:jc w:val="both"/>
            </w:pPr>
            <w:r>
              <w:rPr>
                <w:rFonts w:ascii="仿宋_GB2312" w:hAnsi="仿宋_GB2312" w:cs="仿宋_GB2312" w:eastAsia="仿宋_GB2312"/>
                <w:sz w:val="21"/>
              </w:rPr>
              <w:t>改造</w:t>
            </w:r>
            <w:r>
              <w:rPr>
                <w:rFonts w:ascii="仿宋_GB2312" w:hAnsi="仿宋_GB2312" w:cs="仿宋_GB2312" w:eastAsia="仿宋_GB2312"/>
                <w:sz w:val="21"/>
              </w:rPr>
              <w:t>要求：</w:t>
            </w:r>
            <w:r>
              <w:rPr>
                <w:rFonts w:ascii="仿宋_GB2312" w:hAnsi="仿宋_GB2312" w:cs="仿宋_GB2312" w:eastAsia="仿宋_GB2312"/>
                <w:sz w:val="20"/>
              </w:rPr>
              <w:t>（</w:t>
            </w:r>
            <w:r>
              <w:rPr>
                <w:rFonts w:ascii="仿宋_GB2312" w:hAnsi="仿宋_GB2312" w:cs="仿宋_GB2312" w:eastAsia="仿宋_GB2312"/>
                <w:sz w:val="20"/>
              </w:rPr>
              <w:t>1）给排水专业：生活给水系统，生活排水系统，室内消防系统维修，增设医疗废水处理设备。 （2）电气专业：配电系统，照明系统维修，增加火灾自动报警系统维修。弱电智能化系统包含：网 络电话系统维修，监控维修，根据需求增设候诊叫号系统等。 （3）暖通专业：卫生间吸顶换气扇排风、影像科气体灭火事后排风、无窗房间通风系统。</w:t>
            </w:r>
            <w:r>
              <w:rPr>
                <w:rFonts w:ascii="仿宋_GB2312" w:hAnsi="仿宋_GB2312" w:cs="仿宋_GB2312" w:eastAsia="仿宋_GB2312"/>
                <w:sz w:val="20"/>
              </w:rPr>
              <w:t>完全满足采购人过渡使用的要求。</w:t>
            </w:r>
          </w:p>
          <w:p>
            <w:pPr>
              <w:pStyle w:val="null3"/>
              <w:jc w:val="both"/>
            </w:pPr>
            <w:r>
              <w:rPr>
                <w:rFonts w:ascii="仿宋_GB2312" w:hAnsi="仿宋_GB2312" w:cs="仿宋_GB2312" w:eastAsia="仿宋_GB2312"/>
              </w:rPr>
              <w:t>工程质量：</w:t>
            </w:r>
            <w:r>
              <w:rPr>
                <w:rFonts w:ascii="仿宋_GB2312" w:hAnsi="仿宋_GB2312" w:cs="仿宋_GB2312" w:eastAsia="仿宋_GB2312"/>
                <w:sz w:val="21"/>
              </w:rPr>
              <w:t>工程质量须符合国家施工验收规范要求，达到合格标准。</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符合国家质量标准：合格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一、商务条款： 1.工期：40日历日，具体以甲方开工令为准 。 2.质保期：本项目竣工验收合格通过之日起贰年，各专业工程部分按国家要求的质保期执行； 3.实施地点：陕西省交通医院指定地点； 4.付款方式： 付款可以分两次完成，合同签订后可以交纳。 5.保证金或提供银行保函，工程竣工验收后，付清全部工程款，具体按合同约定执行。 6、保修要求：、保修要求：①属于保修范围和内容的项目，承包人应在接到维修通知后， 1 天内派人维修，并于【24】小时完成维修，排除故障。发生紧急抢修事故，承包人应在接到事故通知后 4 小时内到达事故现场并于 3 小时内完成应急维修。若承包人未按前述期限响应并排除故障的，采购人有权委托第三方处理，所产生的费用由承包人承担。注：商务条款不允许负偏离。 二、其他要求：（1）本项目按全费用综合单价执行。（2）供应商按合同包获取采购文件,磋商小组按照合同包1开展评审工作。 （3）供应商需要在线提交所有通过电子化交易平台实施的政府采购项目的响应文件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具备建筑工程施工总承包三级及以上资质，同时具备有效期内的安全生产许可证</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拟投入的项目经理须提供在本单位注册的建筑工程专业贰级（含贰级）以上注册建造师证书及有效的安全生产考核合格证，且未担任其他在建工程项目的项目经理（提供无在建工程的承诺函）</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响应报价未超过采购预算或最高限价（合格）响应报价超过采购预算或最高限价（不合格）</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工期满足采购文件要求（合格） 工期不满足采购文件要求（不合格）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响应文件无响应有效期</w:t>
            </w:r>
          </w:p>
        </w:tc>
        <w:tc>
          <w:tcPr>
            <w:tcW w:type="dxa" w:w="3322"/>
          </w:tcPr>
          <w:p>
            <w:pPr>
              <w:pStyle w:val="null3"/>
            </w:pPr>
            <w:r>
              <w:rPr>
                <w:rFonts w:ascii="仿宋_GB2312" w:hAnsi="仿宋_GB2312" w:cs="仿宋_GB2312" w:eastAsia="仿宋_GB2312"/>
              </w:rPr>
              <w:t>响应文件无响应有效期或有效期达到竞争性磋商文件要求的（合格）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响应文件未出现工程量漏项或工程量清单与要求不符的（合格） 响应文件出现工程量漏项或工程量清单与要求不符的（不合格）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 情形(合格)，存在法律、法规和招标文件规定的其他无效情形(不合格)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投标保证金是否缴纳</w:t>
            </w:r>
          </w:p>
        </w:tc>
        <w:tc>
          <w:tcPr>
            <w:tcW w:type="dxa" w:w="3322"/>
          </w:tcPr>
          <w:p>
            <w:pPr>
              <w:pStyle w:val="null3"/>
            </w:pPr>
            <w:r>
              <w:rPr>
                <w:rFonts w:ascii="仿宋_GB2312" w:hAnsi="仿宋_GB2312" w:cs="仿宋_GB2312" w:eastAsia="仿宋_GB2312"/>
              </w:rPr>
              <w:t>投标保证金缴纳凭证</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提供具体的施工组织设计，包含①施工方案，②确保工程质量的技术组织措施，③确保安全生产的技术组织措施，④确保文明施工的技术组织措施及环境保护措施，⑤确保工期的技术组织措施，⑥施工机械配备和材料投入计划，⑦施工进度表或施工网络图，⑧施工现场治污减霾、扬尘预防措施，⑨施工总平面布置图，⑩新技术、新产品、新工艺、新材料应用。 方案各部分内容全面详细、阐述条理清晰详尽、符合本项目采购需求得45分；方案内容每缺一项扣4.5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项目人员组成</w:t>
            </w:r>
          </w:p>
        </w:tc>
        <w:tc>
          <w:tcPr>
            <w:tcW w:type="dxa" w:w="2492"/>
          </w:tcPr>
          <w:p>
            <w:pPr>
              <w:pStyle w:val="null3"/>
            </w:pPr>
            <w:r>
              <w:rPr>
                <w:rFonts w:ascii="仿宋_GB2312" w:hAnsi="仿宋_GB2312" w:cs="仿宋_GB2312" w:eastAsia="仿宋_GB2312"/>
              </w:rPr>
              <w:t>供应商针对本项目提供的项目人员组成，技术负责人（职称、学历、工作年限），其他项目人员构成情况（岗位设置、专业种类及能力、针对本项目的特种作业证书、有技术职称的人员比例）等进行进行赋分。 项目人员配置齐全、合理、职责划分清晰、针对性强得5分；内容一般、有基本的人员配置，针对性一般得2.5分；不提供不计分。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针对可能出现的问题及重大故障，供应商有具体可行的应急措施和解决方案，内容包括但不限于响应时间、人员安排、突发事件解决措施及能力等。 1、方案具体可行、解决措施完善、合理有效，计10分；2、方案较为可行、解决措施较完善、合理，计7分；3、方案简单、突发事件有应急预案以及处置办法，但不够合理完善，内容空泛，计5分；4、方案较差，应急保障措施与项目需求适配度差，计3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提供供应商2021年1月1日至今(以合同签订日期为准)类似业绩证明材料，每份业绩计2分，满分10分。备注：业绩时间以合同签订时间所体现的时间为准。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价格分统一采用低价优先法计算，即满足采购文件要求且价格最低的投标报价为评标基准价，其价格分为满分。其他供应商的价格分统一按照下列公式计算：价格分=(评标基准价／投标报价)×报价分值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