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版本号：SXZX-2025-04020250921001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山阳县腰坪水库大坝改造方案研究</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SXZX-2025-040</w:t>
      </w:r>
      <w:r>
        <w:br/>
      </w:r>
      <w:r>
        <w:br/>
      </w:r>
      <w:r>
        <w:br/>
      </w:r>
    </w:p>
    <w:p>
      <w:pPr>
        <w:pStyle w:val="null3"/>
        <w:jc w:val="center"/>
        <w:outlineLvl w:val="2"/>
      </w:pPr>
      <w:r>
        <w:rPr>
          <w:rFonts w:ascii="仿宋_GB2312" w:hAnsi="仿宋_GB2312" w:cs="仿宋_GB2312" w:eastAsia="仿宋_GB2312"/>
          <w:sz w:val="28"/>
          <w:b/>
        </w:rPr>
        <w:t>陕西省水利发展调查与引汉济渭工程协调中心</w:t>
      </w:r>
    </w:p>
    <w:p>
      <w:pPr>
        <w:pStyle w:val="null3"/>
        <w:jc w:val="center"/>
        <w:outlineLvl w:val="2"/>
      </w:pPr>
      <w:r>
        <w:rPr>
          <w:rFonts w:ascii="仿宋_GB2312" w:hAnsi="仿宋_GB2312" w:cs="仿宋_GB2312" w:eastAsia="仿宋_GB2312"/>
          <w:sz w:val="28"/>
          <w:b/>
        </w:rPr>
        <w:t>陕西湛信工程管理有限公司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陕西湛信工程管理有限公司</w:t>
      </w:r>
      <w:r>
        <w:rPr>
          <w:rFonts w:ascii="仿宋_GB2312" w:hAnsi="仿宋_GB2312" w:cs="仿宋_GB2312" w:eastAsia="仿宋_GB2312"/>
        </w:rPr>
        <w:t>（以下简称“代理机构”）受</w:t>
      </w:r>
      <w:r>
        <w:rPr>
          <w:rFonts w:ascii="仿宋_GB2312" w:hAnsi="仿宋_GB2312" w:cs="仿宋_GB2312" w:eastAsia="仿宋_GB2312"/>
        </w:rPr>
        <w:t>陕西省水利发展调查与引汉济渭工程协调中心</w:t>
      </w:r>
      <w:r>
        <w:rPr>
          <w:rFonts w:ascii="仿宋_GB2312" w:hAnsi="仿宋_GB2312" w:cs="仿宋_GB2312" w:eastAsia="仿宋_GB2312"/>
        </w:rPr>
        <w:t>委托，拟对</w:t>
      </w:r>
      <w:r>
        <w:rPr>
          <w:rFonts w:ascii="仿宋_GB2312" w:hAnsi="仿宋_GB2312" w:cs="仿宋_GB2312" w:eastAsia="仿宋_GB2312"/>
        </w:rPr>
        <w:t>山阳县腰坪水库大坝改造方案研究</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SXZX-2025-040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山阳县腰坪水库大坝改造方案研究</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对大坝综合利用功能定位进行研究；针对大坝存在的安全问题，形成大坝改造方案报告等工作内容。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1、资质证书：具有工程设计综合资质甲级或水利行业乙级及以上资质工程设计综合资质甲级或水利行业乙级及以上资质</w:t>
      </w:r>
    </w:p>
    <w:p>
      <w:pPr>
        <w:pStyle w:val="null3"/>
      </w:pPr>
      <w:r>
        <w:rPr>
          <w:rFonts w:ascii="仿宋_GB2312" w:hAnsi="仿宋_GB2312" w:cs="仿宋_GB2312" w:eastAsia="仿宋_GB2312"/>
        </w:rPr>
        <w:t>2、法人授权书（证明书）：法定代表人参加投标时，提供法定代表人证明书；授权代表参加投标时，提供法定代表人授权书；非法人单位参照执行。</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陕西省水利发展调查与引汉济渭工程协调中心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西安市新城区西七路198号江河大厦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029-61835356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陕西湛信工程管理有限公司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西安市未央区湖北大厦2号楼1501室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康超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15209206054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开户名称：陕西湛信工程管理有限公司</w:t>
            </w:r>
          </w:p>
          <w:p>
            <w:pPr>
              <w:pStyle w:val="null3"/>
            </w:pPr>
            <w:r>
              <w:rPr>
                <w:rFonts w:ascii="仿宋_GB2312" w:hAnsi="仿宋_GB2312" w:cs="仿宋_GB2312" w:eastAsia="仿宋_GB2312"/>
              </w:rPr>
              <w:t>开户银行：中信银行西安高新路支行</w:t>
            </w:r>
          </w:p>
          <w:p>
            <w:pPr>
              <w:pStyle w:val="null3"/>
            </w:pPr>
            <w:r>
              <w:rPr>
                <w:rFonts w:ascii="仿宋_GB2312" w:hAnsi="仿宋_GB2312" w:cs="仿宋_GB2312" w:eastAsia="仿宋_GB2312"/>
              </w:rPr>
              <w:t>银行账号：8111701013100609658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关于印发《招标代理服务收费管理暂行办法》的通知（计价格〔2002〕1980号）、《国家发展和改革委员会办公厅关于招标代理服务收费有关问题的通知》（发改办价格〔2003〕857号）规定的标准。 2、采购代理服务费账户： 公司名称：陕西湛信工程管理有限公司 账 号: 8111701013100609658 开 户 行：中信银行西安高新路支行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陕西省水利发展调查与引汉济渭工程协调中心</w:t>
      </w:r>
      <w:r>
        <w:rPr>
          <w:rFonts w:ascii="仿宋_GB2312" w:hAnsi="仿宋_GB2312" w:cs="仿宋_GB2312" w:eastAsia="仿宋_GB2312"/>
        </w:rPr>
        <w:t>和</w:t>
      </w:r>
      <w:r>
        <w:rPr>
          <w:rFonts w:ascii="仿宋_GB2312" w:hAnsi="仿宋_GB2312" w:cs="仿宋_GB2312" w:eastAsia="仿宋_GB2312"/>
        </w:rPr>
        <w:t>陕西湛信工程管理有限公司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陕西省水利发展调查与引汉济渭工程协调中心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陕西湛信工程管理有限公司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陕西省水利发展调查与引汉济渭工程协调中心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陕西湛信工程管理有限公司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符合磋商文件和乙方响应文件标准和要求以及国家相关技术标准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陕西湛信工程管理有限公司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陕西湛信工程管理有限公司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陕西湛信工程管理有限公司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联系人：康超</w:t>
      </w:r>
    </w:p>
    <w:p>
      <w:pPr>
        <w:pStyle w:val="null3"/>
      </w:pPr>
      <w:r>
        <w:rPr>
          <w:rFonts w:ascii="仿宋_GB2312" w:hAnsi="仿宋_GB2312" w:cs="仿宋_GB2312" w:eastAsia="仿宋_GB2312"/>
        </w:rPr>
        <w:t>联系电话：15209206054</w:t>
      </w:r>
    </w:p>
    <w:p>
      <w:pPr>
        <w:pStyle w:val="null3"/>
      </w:pPr>
      <w:r>
        <w:rPr>
          <w:rFonts w:ascii="仿宋_GB2312" w:hAnsi="仿宋_GB2312" w:cs="仿宋_GB2312" w:eastAsia="仿宋_GB2312"/>
        </w:rPr>
        <w:t>地址：西安市未央区湖北大厦2号楼1501室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对大坝综合利用功能定位进行研究；针对大坝存在的安全问题，形成大坝改造方案报告等工作内容。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1,240,000.00</w:t>
      </w:r>
    </w:p>
    <w:p>
      <w:pPr>
        <w:pStyle w:val="null3"/>
      </w:pPr>
      <w:r>
        <w:rPr>
          <w:rFonts w:ascii="仿宋_GB2312" w:hAnsi="仿宋_GB2312" w:cs="仿宋_GB2312" w:eastAsia="仿宋_GB2312"/>
        </w:rPr>
        <w:t>采购包最高限价（元）: 1,240,000.00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山阳县腰坪水库大坝改造方案研究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标的名称：山阳县腰坪水库大坝改造方案研究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对大坝综合利用功能定位进行研究；针对大坝存在的安全问题，形成大坝改造方案报告等工作内容</w:t>
            </w:r>
            <w:r>
              <w:rPr>
                <w:rFonts w:ascii="仿宋_GB2312" w:hAnsi="仿宋_GB2312" w:cs="仿宋_GB2312" w:eastAsia="仿宋_GB2312"/>
                <w:sz w:val="21"/>
              </w:rPr>
              <w:t>, 完成《山阳县腰坪水库大坝安全评估及改造方案报告》等研究成果。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必须实行严格的质量管理，确保实现采购人的需求，对不符合合同要求或采购人需求的，成交供应商须无条件进行完善修改，直至达到要求为止。在项目负责人工作不得力的情况下（如技术不熟、管理不当等），采购人有权要求成交供应商更换项目负责人，由此造成的项目进度的延误，由成交供应商承担责任。</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符合磋商文件和乙方响应文件标准和要求以及国家相关技术标准，并在成果文件完成后，由专家小组进行评审，经过专家小组评审后一致认为已达到要求视为合格。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完成全部研究工作及成果后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全部工作完成并通过验收</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（1）成交单位未按合同要求提供服务或服务质量不能满足技术要求，且在规定时间内未使采购人满意的，采购人有权终止合同并对其违约行为进行追究。具体按《中华人民共和国民法典》中的相关条款执行。 （2）任何一方若违反本合同其他约定，致使本合同无法履行，违约方应向守约方赔偿实际损失。 （3）如因成交单位工作人员在履行职务过程中的疏忽、失职、过错等故意或者过失原因给甲方造成损失或侵害，包括但不限于对采购人造成财产损失、由此而导致的采购人对任何第三方的法律责任等，成交单位对此均应承担全部的赔偿责任并负责妥善处理。 （4）本合同约定的损失，包括但不限于直接或间接的经济损失、律师费、诉讼费、保全费、鉴定费等损失。 （5）本合同约定的违约情形独立存在，可叠加适用。成交单位按照合同约定应当向甲方支付的违约金，成交单位同意采购人从应付未付款中直接予以扣除。</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（1）本项目结果公告发布后，成交单位应向代理机构提供纸质响应文件一套（一正二副），纸质投标文件应与系统上传响应文件内容保持一致。 （2）（一）质量标准 达到国家现行质量合格标准。 （二）项目实施要求 1、签订合同起至2025年12月底 2、须详细说明实施本项目拟采用的团队组织方法和具体项目组织机构，保证在此项目实施期间足够的人力投入和人员的质量。 3、应提供本项目实施计划及日程安排。</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资格证明文件部分格式.docx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法人授权书（证明书）</w:t>
            </w:r>
          </w:p>
        </w:tc>
        <w:tc>
          <w:tcPr>
            <w:tcW w:type="dxa" w:w="3322"/>
          </w:tcPr>
          <w:p>
            <w:pPr>
              <w:pStyle w:val="null3"/>
            </w:pPr>
            <w:r>
              <w:rPr>
                <w:rFonts w:ascii="仿宋_GB2312" w:hAnsi="仿宋_GB2312" w:cs="仿宋_GB2312" w:eastAsia="仿宋_GB2312"/>
              </w:rPr>
              <w:t>法定代表人参加磋商时，提供法定代表人证明书；授权代表参加磋商时，提供法定代表人授权书；非法人单位参照执行。</w:t>
            </w:r>
          </w:p>
        </w:tc>
        <w:tc>
          <w:tcPr>
            <w:tcW w:type="dxa" w:w="1661"/>
          </w:tcPr>
          <w:p>
            <w:pPr>
              <w:pStyle w:val="null3"/>
            </w:pPr>
            <w:r>
              <w:rPr>
                <w:rFonts w:ascii="仿宋_GB2312" w:hAnsi="仿宋_GB2312" w:cs="仿宋_GB2312" w:eastAsia="仿宋_GB2312"/>
              </w:rPr>
              <w:t>资格证明文件部分格式.docx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经审计的2024年度的财务报告或提交响应文件递交截止时间前6个月内银行出具的资信证明；其他组织和自然人提供银行出具的资信证明或财务报表，或政府采购信用担保机构出具的《政府采购投标担保函》。</w:t>
            </w:r>
          </w:p>
        </w:tc>
        <w:tc>
          <w:tcPr>
            <w:tcW w:type="dxa" w:w="1661"/>
          </w:tcPr>
          <w:p>
            <w:pPr>
              <w:pStyle w:val="null3"/>
            </w:pPr>
            <w:r>
              <w:rPr>
                <w:rFonts w:ascii="仿宋_GB2312" w:hAnsi="仿宋_GB2312" w:cs="仿宋_GB2312" w:eastAsia="仿宋_GB2312"/>
              </w:rPr>
              <w:t>资格证明文件部分格式.docx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提供响应文件递交截止时间前12个月内至少一个月已缴纳的纳税凭据或完税证明，依法免税的供应商应提供相关证明文件。</w:t>
            </w:r>
          </w:p>
        </w:tc>
        <w:tc>
          <w:tcPr>
            <w:tcW w:type="dxa" w:w="1661"/>
          </w:tcPr>
          <w:p>
            <w:pPr>
              <w:pStyle w:val="null3"/>
            </w:pPr>
            <w:r>
              <w:rPr>
                <w:rFonts w:ascii="仿宋_GB2312" w:hAnsi="仿宋_GB2312" w:cs="仿宋_GB2312" w:eastAsia="仿宋_GB2312"/>
              </w:rPr>
              <w:t>资格证明文件部分格式.docx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提供响应文件递交截止时间前12个月内已缴存的至少一个月的社会保障资金缴存单据或社保机构开具的社会保险参保缴费情况证明，依法不需要缴纳社会保障资金的单位应提供相关证明材料。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资格证明文件部分格式.docx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设备和专业技术能力承诺</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资格证明文件部分格式.docx 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资格证明文件部分格式.docx 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资格证明文件部分格式.docx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具有工程设计综合资质甲级或水利行业乙级及以上资质工程设计综合资质甲级或水利行业乙级及以上资质</w:t>
            </w:r>
          </w:p>
        </w:tc>
        <w:tc>
          <w:tcPr>
            <w:tcW w:type="dxa" w:w="1661"/>
          </w:tcPr>
          <w:p>
            <w:pPr>
              <w:pStyle w:val="null3"/>
            </w:pPr>
            <w:r>
              <w:rPr>
                <w:rFonts w:ascii="仿宋_GB2312" w:hAnsi="仿宋_GB2312" w:cs="仿宋_GB2312" w:eastAsia="仿宋_GB2312"/>
              </w:rPr>
              <w:t>资格证明文件部分格式.docx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法人授权书（证明书）</w:t>
            </w:r>
          </w:p>
        </w:tc>
        <w:tc>
          <w:tcPr>
            <w:tcW w:type="dxa" w:w="3322"/>
          </w:tcPr>
          <w:p>
            <w:pPr>
              <w:pStyle w:val="null3"/>
            </w:pPr>
            <w:r>
              <w:rPr>
                <w:rFonts w:ascii="仿宋_GB2312" w:hAnsi="仿宋_GB2312" w:cs="仿宋_GB2312" w:eastAsia="仿宋_GB2312"/>
              </w:rPr>
              <w:t>法定代表人参加投标时，提供法定代表人证明书；授权代表参加投标时，提供法定代表人授权书；非法人单位参照执行。</w:t>
            </w:r>
          </w:p>
        </w:tc>
        <w:tc>
          <w:tcPr>
            <w:tcW w:type="dxa" w:w="1661"/>
          </w:tcPr>
          <w:p>
            <w:pPr>
              <w:pStyle w:val="null3"/>
            </w:pPr>
            <w:r>
              <w:rPr>
                <w:rFonts w:ascii="仿宋_GB2312" w:hAnsi="仿宋_GB2312" w:cs="仿宋_GB2312" w:eastAsia="仿宋_GB2312"/>
              </w:rPr>
              <w:t>资格证明文件部分格式.docx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磋商响应文件的签字盖章符合采购文件要求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资格证明文件部分格式.docx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满足竞争性磋商文件要求</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满足竞争性磋商文件要求</w:t>
            </w:r>
          </w:p>
        </w:tc>
        <w:tc>
          <w:tcPr>
            <w:tcW w:type="dxa" w:w="1661"/>
          </w:tcPr>
          <w:p>
            <w:pPr>
              <w:pStyle w:val="null3"/>
            </w:pPr>
            <w:r>
              <w:rPr>
                <w:rFonts w:ascii="仿宋_GB2312" w:hAnsi="仿宋_GB2312" w:cs="仿宋_GB2312" w:eastAsia="仿宋_GB2312"/>
              </w:rPr>
              <w:t>服务内容及服务邀请应答表 商务应答表 资格证明文件部分格式.docx 服务方案 供应商应提交的相关资格证明材料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针对本项目的特点提供总体的项目实施方案（包括但不限于总体的服务设想、服务定位、服务目标、服务计划等），根据方案的科学性、合理性、针对性综合评审。 方案科学合理、切实可行，不缺项且有针对性解释说明得14分； 2.方案比较合理、有一定的可行性，不缺项且有针对性解释说明得12分； 3.方案比较合理、有一定的可行性，有针对性解释说明但缺项1项得10分； 4.方案基本合理、具有可操作性，存在不确定因素，有针对性解释说明但缺项1项得8分； 5.方案基本合理、可操作性不强，存在不确定因素，有针对性解释说明但缺项2项得6分； 6.方案不够合理、可操作性不强，解释说明缺项2项得4分； 7.方案不够合理、可操作性不强，存在缺项3项得2分； 8.方案存在漏项较多，可操作性差，得1分； 未提供或完全脱离项目实际的不得分。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重点与难点分析</w:t>
            </w:r>
          </w:p>
        </w:tc>
        <w:tc>
          <w:tcPr>
            <w:tcW w:type="dxa" w:w="2492"/>
          </w:tcPr>
          <w:p>
            <w:pPr>
              <w:pStyle w:val="null3"/>
            </w:pPr>
            <w:r>
              <w:rPr>
                <w:rFonts w:ascii="仿宋_GB2312" w:hAnsi="仿宋_GB2312" w:cs="仿宋_GB2312" w:eastAsia="仿宋_GB2312"/>
              </w:rPr>
              <w:t>1.重点和难点分析全面，合理，并且提出切实可行的解决办法的，得8分； 2.重点和难点分析全面，合理，对于重难点的解决办法较为合理可行的，得6分； 3.重点和难点分析全面，合理，对于重难点的解决办法可行性一般的，得4分； 4.重点和难点分析基本全面，基本合理，对于重难点的解决办法基本可行的，得2分； 5.重点和难点分析不全面，不合理，对于重难点的解决办法不可行的，得1分； 未提供或完全脱离项目实际的不得分。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专业人员配备合理，拟投入本项目人员数量充足，专业人员配置齐全、针对性强、人员分工、岗位职责明确，能够满足采购人项目需求的，证明材料提供齐全、详细的得10分； 专业人员配备数量充足，专业人员配备能够基本满足项目实施需要，分工、岗位职责安排有一定的合理性，基本能满足项目需求的，证明材料提供齐全、详细的得8分； 专业人员配备数量基本充足、专业人员配备能够基本满足项目实施需要，分工、岗位职责安排基本合理的，证明材料提供不齐全的，得6分； 专业人员配备数量较充足、专业人员配备能够基本满足项目实施需要，分工、岗位职责安排不明确、不合理的，且证明材料提供不齐全的得4分； 专业人员配备数量较少，专业人员配备不齐全的，未提供相关证明材料的得2分； 相关人员配置在满足采购人要求的基础上严重不足的不得分。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拟派项目负责人，具有水利工程相关专业高级或以上职称的得1分，具有注册土木工程师（水利水电工程-水工结构）执业资格证书加1分；本项最多得2分。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对供应商针对本项目的进度安排措施进行评审。 具有科学合理明确的工作进度计划，工作进度计划与实际需求的契合度高，时间节点把控清晰明确，对工作推进指导性强，得8分； 具有科学合理工作进度计划，工作进度计划与实际需求的契合度相对较高，时间节点把控准确，对工作推进指导性强，得6分； 工作进度计划基本符合实际需求，相关时间节点的把控要求基本准确，对工作推进相对有指导性，得4分； 工作进度计划不符合实际需求，无法保证工作能够正常推进，得2分； 工作进度计划措施与项目实际需求不符，内容粗略得1分； 未提供或完全脱离项目实际的不得分。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措施全面、具体、可行、科学合理，得8分； 措施比较全面、具体、可行、科学合理，得6分； 措施简单，有一定的合理性得4分； 措施存在较多缺漏，合理性较差，得2分； 措施存在严重缺漏，不具备合理性，得1分； 未提供或完全脱离项目实际的不得分。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规范和技术标准措施</w:t>
            </w:r>
          </w:p>
        </w:tc>
        <w:tc>
          <w:tcPr>
            <w:tcW w:type="dxa" w:w="2492"/>
          </w:tcPr>
          <w:p>
            <w:pPr>
              <w:pStyle w:val="null3"/>
            </w:pPr>
            <w:r>
              <w:rPr>
                <w:rFonts w:ascii="仿宋_GB2312" w:hAnsi="仿宋_GB2312" w:cs="仿宋_GB2312" w:eastAsia="仿宋_GB2312"/>
              </w:rPr>
              <w:t>根据对服务符合相关规范和技术标准的措施。 措施方案全面具体、规范和技术标准高、数据可靠、能有效保障项目实施的得8分； 措施方案较全面较具体、规范和技术标准较高、数据可靠、较能有效保障项目实施的得6分； 措施方案基本全面、规范和技术标准高、数据较为可靠、对项目实施有利性一般得4分； 措施方案不全面、规范和技术标准低、数据基本可靠、基本有利于对项目实施的的得2分； 措施方案不全面、规范和技术标准低、数据不可靠的，不利于对项目实施的的得1分； 未提供或完全脱离项目实际的不得分。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档案管理方案</w:t>
            </w:r>
          </w:p>
        </w:tc>
        <w:tc>
          <w:tcPr>
            <w:tcW w:type="dxa" w:w="2492"/>
          </w:tcPr>
          <w:p>
            <w:pPr>
              <w:pStyle w:val="null3"/>
            </w:pPr>
            <w:r>
              <w:rPr>
                <w:rFonts w:ascii="仿宋_GB2312" w:hAnsi="仿宋_GB2312" w:cs="仿宋_GB2312" w:eastAsia="仿宋_GB2312"/>
              </w:rPr>
              <w:t>根据本项目采购需求并结合项目实际，制定对于数据、图纸、报告等内容的管理方案， 方案得当、合理、规范，可行性强得8分； 方案较合理，具有可行性得6分； 方案基本合理，可行性一般得4分； 方案简单，基本可行得2分； 方案缺漏，不利于项目实施得1分； 未提供或完全脱离项目实际的不得分。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承诺全面且从多个角度明确地做出承诺，合理可行且完全能满足采购人对项目需求的，得6分； 承诺基本全面且承诺内容基本可行的，得4分； 承诺基本全面但实施有难度的，得2分； 承诺不全面且实施难度大的，得1分； 未提供或完全脱离项目实际的不得分。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建议全面且从多个角度考虑，合理可行且对项目实施具有较强的指导作用的得6分； 建议基本全面且建议内容基本可行的，得4分； 建议基本全面但实施有难度的，得2分； 建议不全面且实施难度大的，得1分； 未提供或完全脱离项目实际的不得分。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1、供应商提供2022年1月1日至响应文件递交截止时间内的类似业绩，每提供一项单个合同项目得3分，累计最多得12分。 注 ：以响应文件中所附的加盖公章的业绩合同复印件为准，时间以合同签订时间为准；未提供业绩证明资料、业绩证明资料未显示时间、业绩证明资料显示时间不符合要求者不得分。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满足磋商文件要求且报价最低的供应商的价格为评标基准价，其价格分为满分。其他供应商的价格分统一按照下列公式计算：投标报价得分=（评标基准价/投标报价） ×分值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详见附件：资格证明文件部分格式.docx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