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44"/>
        </w:tabs>
        <w:spacing w:line="360" w:lineRule="auto"/>
        <w:jc w:val="center"/>
        <w:outlineLvl w:val="0"/>
        <w:rPr>
          <w:rFonts w:hint="eastAsia" w:ascii="宋体" w:hAnsi="宋体" w:eastAsia="宋体" w:cs="宋体"/>
          <w:b/>
          <w:color w:val="auto"/>
          <w:sz w:val="30"/>
          <w:szCs w:val="30"/>
        </w:rPr>
      </w:pPr>
      <w:bookmarkStart w:id="0" w:name="_Toc98428733"/>
      <w:r>
        <w:rPr>
          <w:rFonts w:hint="eastAsia" w:ascii="宋体" w:hAnsi="宋体" w:eastAsia="宋体" w:cs="宋体"/>
          <w:b/>
          <w:color w:val="auto"/>
          <w:sz w:val="30"/>
          <w:szCs w:val="30"/>
        </w:rPr>
        <w:t>合同格式（参考文本）</w:t>
      </w:r>
      <w:bookmarkEnd w:id="0"/>
    </w:p>
    <w:p>
      <w:pPr>
        <w:rPr>
          <w:rFonts w:hint="eastAsia" w:ascii="宋体" w:hAnsi="宋体" w:eastAsia="宋体" w:cs="宋体"/>
          <w:color w:val="auto"/>
        </w:rPr>
      </w:pPr>
    </w:p>
    <w:p>
      <w:pPr>
        <w:jc w:val="center"/>
        <w:rPr>
          <w:rFonts w:hint="eastAsia" w:ascii="宋体" w:hAnsi="宋体" w:eastAsia="宋体" w:cs="宋体"/>
          <w:color w:val="auto"/>
          <w:sz w:val="22"/>
          <w:u w:val="single"/>
        </w:rPr>
      </w:pPr>
      <w:bookmarkStart w:id="1" w:name="_Toc72310070"/>
      <w:bookmarkStart w:id="2" w:name="_Toc72309701"/>
      <w:bookmarkStart w:id="3" w:name="_Toc71298316"/>
      <w:r>
        <w:rPr>
          <w:rFonts w:hint="eastAsia" w:ascii="宋体" w:hAnsi="宋体" w:eastAsia="宋体" w:cs="宋体"/>
          <w:color w:val="auto"/>
          <w:sz w:val="22"/>
          <w:u w:val="single"/>
        </w:rPr>
        <w:t>（本部分合同格式为成交后，签订采购合同时参考使用文本）</w:t>
      </w:r>
      <w:bookmarkEnd w:id="1"/>
      <w:bookmarkEnd w:id="2"/>
      <w:bookmarkEnd w:id="3"/>
    </w:p>
    <w:p>
      <w:pPr>
        <w:rPr>
          <w:rFonts w:hint="eastAsia" w:ascii="宋体" w:hAnsi="宋体" w:eastAsia="宋体" w:cs="宋体"/>
          <w:color w:val="auto"/>
          <w:sz w:val="22"/>
        </w:rPr>
      </w:pPr>
    </w:p>
    <w:p>
      <w:pPr>
        <w:wordWrap w:val="0"/>
        <w:topLinePunct/>
        <w:snapToGrid w:val="0"/>
        <w:spacing w:line="480" w:lineRule="auto"/>
        <w:ind w:firstLine="442" w:firstLineChars="200"/>
        <w:contextualSpacing/>
        <w:jc w:val="left"/>
        <w:rPr>
          <w:rFonts w:hint="eastAsia" w:ascii="宋体" w:hAnsi="宋体" w:eastAsia="宋体" w:cs="宋体"/>
          <w:b/>
          <w:color w:val="auto"/>
          <w:sz w:val="22"/>
          <w:u w:val="single"/>
          <w:lang w:val="zh-CN"/>
        </w:rPr>
      </w:pPr>
      <w:r>
        <w:rPr>
          <w:rFonts w:hint="eastAsia" w:ascii="宋体" w:hAnsi="宋体" w:eastAsia="宋体" w:cs="宋体"/>
          <w:b/>
          <w:color w:val="auto"/>
          <w:sz w:val="22"/>
          <w:lang w:val="zh-CN"/>
        </w:rPr>
        <w:t>甲方：</w:t>
      </w:r>
      <w:r>
        <w:rPr>
          <w:rFonts w:hint="eastAsia" w:ascii="宋体" w:hAnsi="宋体" w:eastAsia="宋体" w:cs="宋体"/>
          <w:b/>
          <w:color w:val="auto"/>
          <w:sz w:val="22"/>
          <w:u w:val="single"/>
          <w:lang w:val="zh-CN"/>
        </w:rPr>
        <w:t>（</w:t>
      </w:r>
      <w:r>
        <w:rPr>
          <w:rFonts w:hint="eastAsia" w:ascii="宋体" w:hAnsi="宋体" w:eastAsia="宋体" w:cs="宋体"/>
          <w:b/>
          <w:color w:val="auto"/>
          <w:sz w:val="22"/>
          <w:u w:val="single"/>
        </w:rPr>
        <w:t>采购人</w:t>
      </w:r>
      <w:r>
        <w:rPr>
          <w:rFonts w:hint="eastAsia" w:ascii="宋体" w:hAnsi="宋体" w:eastAsia="宋体" w:cs="宋体"/>
          <w:b/>
          <w:color w:val="auto"/>
          <w:sz w:val="22"/>
          <w:u w:val="single"/>
          <w:lang w:val="zh-CN"/>
        </w:rPr>
        <w:t>）</w:t>
      </w:r>
    </w:p>
    <w:p>
      <w:pPr>
        <w:wordWrap w:val="0"/>
        <w:topLinePunct/>
        <w:snapToGrid w:val="0"/>
        <w:spacing w:line="480" w:lineRule="auto"/>
        <w:ind w:firstLine="442" w:firstLineChars="200"/>
        <w:contextualSpacing/>
        <w:jc w:val="left"/>
        <w:rPr>
          <w:rFonts w:hint="eastAsia" w:ascii="宋体" w:hAnsi="宋体" w:eastAsia="宋体" w:cs="宋体"/>
          <w:b/>
          <w:color w:val="auto"/>
          <w:sz w:val="22"/>
          <w:u w:val="single"/>
          <w:lang w:val="zh-CN"/>
        </w:rPr>
      </w:pPr>
      <w:r>
        <w:rPr>
          <w:rFonts w:hint="eastAsia" w:ascii="宋体" w:hAnsi="宋体" w:eastAsia="宋体" w:cs="宋体"/>
          <w:b/>
          <w:color w:val="auto"/>
          <w:sz w:val="22"/>
          <w:lang w:val="zh-CN"/>
        </w:rPr>
        <w:t>乙方：</w:t>
      </w:r>
      <w:r>
        <w:rPr>
          <w:rFonts w:hint="eastAsia" w:ascii="宋体" w:hAnsi="宋体" w:eastAsia="宋体" w:cs="宋体"/>
          <w:b/>
          <w:color w:val="auto"/>
          <w:sz w:val="22"/>
          <w:u w:val="single"/>
          <w:lang w:val="zh-CN"/>
        </w:rPr>
        <w:t>（</w:t>
      </w:r>
      <w:r>
        <w:rPr>
          <w:rFonts w:hint="eastAsia" w:ascii="宋体" w:hAnsi="宋体" w:eastAsia="宋体" w:cs="宋体"/>
          <w:b/>
          <w:color w:val="auto"/>
          <w:sz w:val="22"/>
          <w:u w:val="single"/>
        </w:rPr>
        <w:t>成交人</w:t>
      </w:r>
      <w:r>
        <w:rPr>
          <w:rFonts w:hint="eastAsia" w:ascii="宋体" w:hAnsi="宋体" w:eastAsia="宋体" w:cs="宋体"/>
          <w:b/>
          <w:color w:val="auto"/>
          <w:sz w:val="22"/>
          <w:u w:val="single"/>
          <w:lang w:val="zh-CN"/>
        </w:rPr>
        <w:t>）</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u w:val="single"/>
        </w:rPr>
        <w:t>项目名称(项目编号)</w:t>
      </w:r>
      <w:r>
        <w:rPr>
          <w:rFonts w:hint="eastAsia" w:ascii="宋体" w:hAnsi="宋体" w:eastAsia="宋体" w:cs="宋体"/>
          <w:color w:val="auto"/>
          <w:sz w:val="22"/>
        </w:rPr>
        <w:t>，在监督管理部门的全程监督管理下，采用竞争性磋商采购方式采购，经评审委员会评审推荐，</w:t>
      </w:r>
      <w:r>
        <w:rPr>
          <w:rFonts w:hint="eastAsia" w:ascii="宋体" w:hAnsi="宋体" w:eastAsia="宋体" w:cs="宋体"/>
          <w:color w:val="auto"/>
          <w:sz w:val="22"/>
          <w:u w:val="single"/>
        </w:rPr>
        <w:t>采购人　</w:t>
      </w:r>
      <w:r>
        <w:rPr>
          <w:rFonts w:hint="eastAsia" w:ascii="宋体" w:hAnsi="宋体" w:eastAsia="宋体" w:cs="宋体"/>
          <w:color w:val="auto"/>
          <w:sz w:val="22"/>
        </w:rPr>
        <w:t>确认</w:t>
      </w:r>
      <w:r>
        <w:rPr>
          <w:rFonts w:hint="eastAsia" w:ascii="宋体" w:hAnsi="宋体" w:eastAsia="宋体" w:cs="宋体"/>
          <w:color w:val="auto"/>
          <w:sz w:val="22"/>
          <w:u w:val="single"/>
        </w:rPr>
        <w:t>成交人</w:t>
      </w:r>
      <w:r>
        <w:rPr>
          <w:rFonts w:hint="eastAsia" w:ascii="宋体" w:hAnsi="宋体" w:eastAsia="宋体" w:cs="宋体"/>
          <w:color w:val="auto"/>
          <w:sz w:val="22"/>
        </w:rPr>
        <w:t>为本项目成交人。</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依据《中华人民共和国民法典》和《中华人民共和国政府采购法》，经双方协商，按下述条款和条件签署本合同。</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甲方通过竞争性磋商采购方式，接受了乙方以总金额</w:t>
      </w:r>
      <w:r>
        <w:rPr>
          <w:rFonts w:hint="eastAsia" w:ascii="宋体" w:hAnsi="宋体" w:eastAsia="宋体" w:cs="宋体"/>
          <w:color w:val="auto"/>
          <w:sz w:val="22"/>
          <w:u w:val="single"/>
        </w:rPr>
        <w:t>大写（￥小写）</w:t>
      </w:r>
      <w:r>
        <w:rPr>
          <w:rFonts w:hint="eastAsia" w:ascii="宋体" w:hAnsi="宋体" w:eastAsia="宋体" w:cs="宋体"/>
          <w:color w:val="auto"/>
          <w:sz w:val="22"/>
        </w:rPr>
        <w:t>(以下简称“合同价”)，提供合同条款</w:t>
      </w:r>
      <w:bookmarkStart w:id="31" w:name="_GoBack"/>
      <w:bookmarkEnd w:id="31"/>
      <w:r>
        <w:rPr>
          <w:rFonts w:hint="eastAsia" w:ascii="宋体" w:hAnsi="宋体" w:eastAsia="宋体" w:cs="宋体"/>
          <w:color w:val="auto"/>
          <w:sz w:val="22"/>
        </w:rPr>
        <w:t>附件所述货物和服务。</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本合同在此声明如下：</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1、本合同中的词语和术语的含义与合同条款中定义的相同。</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2、下述文件是本合同的一部分，并与本合同一起阅读和解释：</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4" w:name="_Toc72309702"/>
      <w:bookmarkStart w:id="5" w:name="_Toc71298317"/>
      <w:bookmarkStart w:id="6" w:name="_Toc72310071"/>
      <w:r>
        <w:rPr>
          <w:rFonts w:hint="eastAsia" w:ascii="宋体" w:hAnsi="宋体" w:eastAsia="宋体" w:cs="宋体"/>
          <w:color w:val="auto"/>
          <w:sz w:val="22"/>
        </w:rPr>
        <w:t>2-1、合同通用条款</w:t>
      </w:r>
      <w:bookmarkEnd w:id="4"/>
      <w:bookmarkEnd w:id="5"/>
      <w:bookmarkEnd w:id="6"/>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7" w:name="_Toc71298318"/>
      <w:bookmarkStart w:id="8" w:name="_Toc72310072"/>
      <w:bookmarkStart w:id="9" w:name="_Toc72309703"/>
      <w:r>
        <w:rPr>
          <w:rFonts w:hint="eastAsia" w:ascii="宋体" w:hAnsi="宋体" w:eastAsia="宋体" w:cs="宋体"/>
          <w:color w:val="auto"/>
          <w:sz w:val="22"/>
        </w:rPr>
        <w:t>2-2、合同条款附件（如有）</w:t>
      </w:r>
      <w:bookmarkEnd w:id="7"/>
      <w:bookmarkEnd w:id="8"/>
      <w:bookmarkEnd w:id="9"/>
    </w:p>
    <w:p>
      <w:pPr>
        <w:wordWrap w:val="0"/>
        <w:topLinePunct/>
        <w:snapToGrid w:val="0"/>
        <w:spacing w:line="480" w:lineRule="auto"/>
        <w:ind w:firstLine="1100" w:firstLineChars="500"/>
        <w:contextualSpacing/>
        <w:jc w:val="left"/>
        <w:rPr>
          <w:rFonts w:hint="eastAsia" w:ascii="宋体" w:hAnsi="宋体" w:eastAsia="宋体" w:cs="宋体"/>
          <w:color w:val="auto"/>
          <w:sz w:val="22"/>
        </w:rPr>
      </w:pPr>
      <w:r>
        <w:rPr>
          <w:rFonts w:hint="eastAsia" w:ascii="宋体" w:hAnsi="宋体" w:eastAsia="宋体" w:cs="宋体"/>
          <w:color w:val="auto"/>
          <w:sz w:val="22"/>
        </w:rPr>
        <w:t>附件1-采购内容</w:t>
      </w:r>
    </w:p>
    <w:p>
      <w:pPr>
        <w:wordWrap w:val="0"/>
        <w:topLinePunct/>
        <w:snapToGrid w:val="0"/>
        <w:spacing w:line="480" w:lineRule="auto"/>
        <w:ind w:firstLine="1100" w:firstLineChars="500"/>
        <w:contextualSpacing/>
        <w:jc w:val="left"/>
        <w:rPr>
          <w:rFonts w:hint="eastAsia" w:ascii="宋体" w:hAnsi="宋体" w:eastAsia="宋体" w:cs="宋体"/>
          <w:color w:val="auto"/>
          <w:sz w:val="22"/>
        </w:rPr>
      </w:pPr>
      <w:r>
        <w:rPr>
          <w:rFonts w:hint="eastAsia" w:ascii="宋体" w:hAnsi="宋体" w:eastAsia="宋体" w:cs="宋体"/>
          <w:color w:val="auto"/>
          <w:sz w:val="22"/>
        </w:rPr>
        <w:t>附件2-服务承诺</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0" w:name="_Toc71298319"/>
      <w:bookmarkStart w:id="11" w:name="_Toc72309704"/>
      <w:bookmarkStart w:id="12" w:name="_Toc72310073"/>
      <w:r>
        <w:rPr>
          <w:rFonts w:hint="eastAsia" w:ascii="宋体" w:hAnsi="宋体" w:eastAsia="宋体" w:cs="宋体"/>
          <w:color w:val="auto"/>
          <w:sz w:val="22"/>
        </w:rPr>
        <w:t>2-3、成交通知书</w:t>
      </w:r>
      <w:bookmarkEnd w:id="10"/>
      <w:bookmarkEnd w:id="11"/>
      <w:bookmarkEnd w:id="12"/>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3" w:name="_Toc71298320"/>
      <w:bookmarkStart w:id="14" w:name="_Toc72309705"/>
      <w:bookmarkStart w:id="15" w:name="_Toc72310074"/>
      <w:r>
        <w:rPr>
          <w:rFonts w:hint="eastAsia" w:ascii="宋体" w:hAnsi="宋体" w:eastAsia="宋体" w:cs="宋体"/>
          <w:color w:val="auto"/>
          <w:sz w:val="22"/>
        </w:rPr>
        <w:t>2-4、磋商文件</w:t>
      </w:r>
      <w:bookmarkEnd w:id="13"/>
      <w:bookmarkEnd w:id="14"/>
      <w:bookmarkEnd w:id="15"/>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6" w:name="_Toc71298321"/>
      <w:bookmarkStart w:id="17" w:name="_Toc72309706"/>
      <w:bookmarkStart w:id="18" w:name="_Toc72310075"/>
      <w:r>
        <w:rPr>
          <w:rFonts w:hint="eastAsia" w:ascii="宋体" w:hAnsi="宋体" w:eastAsia="宋体" w:cs="宋体"/>
          <w:color w:val="auto"/>
          <w:sz w:val="22"/>
        </w:rPr>
        <w:t>2-5、响应文件</w:t>
      </w:r>
      <w:bookmarkEnd w:id="16"/>
      <w:bookmarkEnd w:id="17"/>
      <w:bookmarkEnd w:id="18"/>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9" w:name="_Toc72310076"/>
      <w:bookmarkStart w:id="20" w:name="_Toc72309707"/>
      <w:bookmarkStart w:id="21" w:name="_Toc71298322"/>
      <w:r>
        <w:rPr>
          <w:rFonts w:hint="eastAsia" w:ascii="宋体" w:hAnsi="宋体" w:eastAsia="宋体" w:cs="宋体"/>
          <w:color w:val="auto"/>
          <w:sz w:val="22"/>
        </w:rPr>
        <w:t>2-6、澄清或承诺函（如有）</w:t>
      </w:r>
      <w:bookmarkEnd w:id="19"/>
      <w:bookmarkEnd w:id="20"/>
      <w:bookmarkEnd w:id="21"/>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22" w:name="_Toc72310077"/>
      <w:bookmarkStart w:id="23" w:name="_Toc72309708"/>
      <w:bookmarkStart w:id="24" w:name="_Toc71298323"/>
      <w:r>
        <w:rPr>
          <w:rFonts w:hint="eastAsia" w:ascii="宋体" w:hAnsi="宋体" w:eastAsia="宋体" w:cs="宋体"/>
          <w:color w:val="auto"/>
          <w:sz w:val="22"/>
        </w:rPr>
        <w:t>2-7、甲乙双方协商的其他条款</w:t>
      </w:r>
      <w:bookmarkEnd w:id="22"/>
      <w:bookmarkEnd w:id="23"/>
      <w:bookmarkEnd w:id="24"/>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3、考虑到甲方将按照本合同向乙方支付货款，乙方在此保证全部按照合同的规定向甲方提供货物和服务，并修补缺陷。</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4、考虑到乙方提供的货物和服务并修补缺陷，甲方在此保证按照合同规定的时间和方式向乙方支付合同价或其他按合同规定应支付的金额。</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5、本合同一式份，其中，甲方</w:t>
      </w:r>
      <w:r>
        <w:rPr>
          <w:rFonts w:hint="eastAsia" w:ascii="宋体" w:hAnsi="宋体" w:eastAsia="宋体" w:cs="宋体"/>
          <w:color w:val="auto"/>
          <w:sz w:val="22"/>
          <w:u w:val="single"/>
        </w:rPr>
        <w:t>　</w:t>
      </w:r>
      <w:r>
        <w:rPr>
          <w:rFonts w:hint="eastAsia" w:ascii="宋体" w:hAnsi="宋体" w:eastAsia="宋体" w:cs="宋体"/>
          <w:color w:val="auto"/>
          <w:sz w:val="22"/>
        </w:rPr>
        <w:t>份，乙方</w:t>
      </w:r>
      <w:r>
        <w:rPr>
          <w:rFonts w:hint="eastAsia" w:ascii="宋体" w:hAnsi="宋体" w:eastAsia="宋体" w:cs="宋体"/>
          <w:color w:val="auto"/>
          <w:sz w:val="22"/>
          <w:u w:val="single"/>
        </w:rPr>
        <w:t>　</w:t>
      </w:r>
      <w:r>
        <w:rPr>
          <w:rFonts w:hint="eastAsia" w:ascii="宋体" w:hAnsi="宋体" w:eastAsia="宋体" w:cs="宋体"/>
          <w:color w:val="auto"/>
          <w:sz w:val="22"/>
        </w:rPr>
        <w:t>份，采购代理机构</w:t>
      </w:r>
      <w:r>
        <w:rPr>
          <w:rFonts w:hint="eastAsia" w:ascii="宋体" w:hAnsi="宋体" w:eastAsia="宋体" w:cs="宋体"/>
          <w:color w:val="auto"/>
          <w:sz w:val="22"/>
          <w:u w:val="single"/>
        </w:rPr>
        <w:t>壹</w:t>
      </w:r>
      <w:r>
        <w:rPr>
          <w:rFonts w:hint="eastAsia" w:ascii="宋体" w:hAnsi="宋体" w:eastAsia="宋体" w:cs="宋体"/>
          <w:color w:val="auto"/>
          <w:sz w:val="22"/>
        </w:rPr>
        <w:t>份。</w:t>
      </w:r>
    </w:p>
    <w:tbl>
      <w:tblPr>
        <w:tblStyle w:val="6"/>
        <w:tblW w:w="8328" w:type="dxa"/>
        <w:jc w:val="center"/>
        <w:tblLayout w:type="fixed"/>
        <w:tblCellMar>
          <w:top w:w="0" w:type="dxa"/>
          <w:left w:w="108" w:type="dxa"/>
          <w:bottom w:w="0" w:type="dxa"/>
          <w:right w:w="108" w:type="dxa"/>
        </w:tblCellMar>
      </w:tblPr>
      <w:tblGrid>
        <w:gridCol w:w="4051"/>
        <w:gridCol w:w="4277"/>
      </w:tblGrid>
      <w:tr>
        <w:tblPrEx>
          <w:tblCellMar>
            <w:top w:w="0" w:type="dxa"/>
            <w:left w:w="108" w:type="dxa"/>
            <w:bottom w:w="0" w:type="dxa"/>
            <w:right w:w="108" w:type="dxa"/>
          </w:tblCellMar>
        </w:tblPrEx>
        <w:trPr>
          <w:trHeight w:val="5412" w:hRule="atLeast"/>
          <w:jc w:val="center"/>
        </w:trPr>
        <w:tc>
          <w:tcPr>
            <w:tcW w:w="4051" w:type="dxa"/>
            <w:tcMar>
              <w:top w:w="113" w:type="dxa"/>
              <w:left w:w="113" w:type="dxa"/>
              <w:bottom w:w="113" w:type="dxa"/>
              <w:right w:w="113" w:type="dxa"/>
            </w:tcMar>
          </w:tcPr>
          <w:p>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kern w:val="0"/>
                <w:sz w:val="22"/>
              </w:rPr>
              <w:t>甲方名称：</w:t>
            </w:r>
          </w:p>
          <w:p>
            <w:pPr>
              <w:wordWrap w:val="0"/>
              <w:topLinePunct/>
              <w:snapToGrid w:val="0"/>
              <w:spacing w:line="400" w:lineRule="exact"/>
              <w:ind w:left="480"/>
              <w:contextualSpacing/>
              <w:jc w:val="left"/>
              <w:rPr>
                <w:rFonts w:hint="eastAsia" w:ascii="宋体" w:hAnsi="宋体" w:eastAsia="宋体" w:cs="宋体"/>
                <w:color w:val="auto"/>
                <w:sz w:val="22"/>
              </w:rPr>
            </w:pPr>
          </w:p>
          <w:p>
            <w:pPr>
              <w:wordWrap w:val="0"/>
              <w:topLinePunct/>
              <w:snapToGrid w:val="0"/>
              <w:spacing w:line="400" w:lineRule="exact"/>
              <w:contextualSpacing/>
              <w:jc w:val="left"/>
              <w:rPr>
                <w:rFonts w:hint="eastAsia" w:ascii="宋体" w:hAnsi="宋体" w:eastAsia="宋体" w:cs="宋体"/>
                <w:color w:val="auto"/>
                <w:kern w:val="0"/>
                <w:sz w:val="22"/>
              </w:rPr>
            </w:pPr>
            <w:r>
              <w:rPr>
                <w:rFonts w:hint="eastAsia" w:ascii="宋体" w:hAnsi="宋体" w:eastAsia="宋体" w:cs="宋体"/>
                <w:b/>
                <w:color w:val="auto"/>
                <w:kern w:val="0"/>
                <w:sz w:val="22"/>
              </w:rPr>
              <w:t>甲方地址：</w:t>
            </w:r>
          </w:p>
          <w:p>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kern w:val="0"/>
                <w:sz w:val="22"/>
              </w:rPr>
              <w:t>电话：</w:t>
            </w:r>
          </w:p>
          <w:p>
            <w:pPr>
              <w:wordWrap w:val="0"/>
              <w:topLinePunct/>
              <w:snapToGrid w:val="0"/>
              <w:spacing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传真：</w:t>
            </w:r>
          </w:p>
          <w:p>
            <w:pPr>
              <w:wordWrap w:val="0"/>
              <w:topLinePunct/>
              <w:snapToGrid w:val="0"/>
              <w:spacing w:line="400" w:lineRule="exact"/>
              <w:contextualSpacing/>
              <w:jc w:val="left"/>
              <w:rPr>
                <w:rFonts w:hint="eastAsia" w:ascii="宋体" w:hAnsi="宋体" w:eastAsia="宋体" w:cs="宋体"/>
                <w:color w:val="auto"/>
                <w:kern w:val="0"/>
                <w:sz w:val="22"/>
              </w:rPr>
            </w:pPr>
            <w:r>
              <w:rPr>
                <w:rFonts w:hint="eastAsia" w:ascii="宋体" w:hAnsi="宋体" w:eastAsia="宋体" w:cs="宋体"/>
                <w:b/>
                <w:color w:val="auto"/>
                <w:kern w:val="0"/>
                <w:sz w:val="22"/>
              </w:rPr>
              <w:t>邮编：</w:t>
            </w:r>
          </w:p>
          <w:p>
            <w:pPr>
              <w:wordWrap w:val="0"/>
              <w:topLinePunct/>
              <w:snapToGrid w:val="0"/>
              <w:spacing w:line="40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甲方代表签字：</w:t>
            </w:r>
          </w:p>
          <w:p>
            <w:pPr>
              <w:wordWrap w:val="0"/>
              <w:topLinePunct/>
              <w:snapToGrid w:val="0"/>
              <w:spacing w:line="400" w:lineRule="exact"/>
              <w:contextualSpacing/>
              <w:jc w:val="left"/>
              <w:rPr>
                <w:rFonts w:hint="eastAsia" w:ascii="宋体" w:hAnsi="宋体" w:eastAsia="宋体" w:cs="宋体"/>
                <w:b/>
                <w:color w:val="auto"/>
                <w:kern w:val="0"/>
                <w:sz w:val="22"/>
              </w:rPr>
            </w:pPr>
          </w:p>
          <w:p>
            <w:pPr>
              <w:wordWrap w:val="0"/>
              <w:topLinePunct/>
              <w:snapToGrid w:val="0"/>
              <w:spacing w:before="240" w:beforeLines="100"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甲方盖章：</w:t>
            </w:r>
          </w:p>
          <w:p>
            <w:pPr>
              <w:wordWrap w:val="0"/>
              <w:topLinePunct/>
              <w:snapToGrid w:val="0"/>
              <w:spacing w:before="240" w:beforeLines="100" w:line="400" w:lineRule="exact"/>
              <w:contextualSpacing/>
              <w:jc w:val="left"/>
              <w:rPr>
                <w:rFonts w:hint="eastAsia" w:ascii="宋体" w:hAnsi="宋体" w:eastAsia="宋体" w:cs="宋体"/>
                <w:b/>
                <w:color w:val="auto"/>
                <w:kern w:val="0"/>
                <w:sz w:val="22"/>
              </w:rPr>
            </w:pPr>
          </w:p>
          <w:p>
            <w:pPr>
              <w:wordWrap w:val="0"/>
              <w:topLinePunct/>
              <w:snapToGrid w:val="0"/>
              <w:spacing w:before="240" w:beforeLines="100" w:line="400" w:lineRule="exact"/>
              <w:contextualSpacing/>
              <w:jc w:val="left"/>
              <w:rPr>
                <w:rFonts w:hint="eastAsia" w:ascii="宋体" w:hAnsi="宋体" w:eastAsia="宋体" w:cs="宋体"/>
                <w:b/>
                <w:color w:val="auto"/>
                <w:sz w:val="22"/>
              </w:rPr>
            </w:pPr>
            <w:r>
              <w:rPr>
                <w:rFonts w:hint="eastAsia" w:ascii="宋体" w:hAnsi="宋体" w:eastAsia="宋体" w:cs="宋体"/>
                <w:b/>
                <w:color w:val="auto"/>
                <w:kern w:val="0"/>
                <w:sz w:val="22"/>
              </w:rPr>
              <w:t>日期：   年   月   日</w:t>
            </w:r>
          </w:p>
        </w:tc>
        <w:tc>
          <w:tcPr>
            <w:tcW w:w="4277" w:type="dxa"/>
          </w:tcPr>
          <w:p>
            <w:pPr>
              <w:wordWrap w:val="0"/>
              <w:topLinePunct/>
              <w:snapToGrid w:val="0"/>
              <w:spacing w:line="400" w:lineRule="exact"/>
              <w:ind w:left="1104" w:hanging="1104" w:hangingChars="500"/>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乙方名称：</w:t>
            </w:r>
          </w:p>
          <w:p>
            <w:pPr>
              <w:wordWrap w:val="0"/>
              <w:topLinePunct/>
              <w:snapToGrid w:val="0"/>
              <w:spacing w:line="400" w:lineRule="exact"/>
              <w:ind w:left="1104" w:hanging="1104" w:hangingChars="500"/>
              <w:contextualSpacing/>
              <w:jc w:val="left"/>
              <w:rPr>
                <w:rFonts w:hint="eastAsia" w:ascii="宋体" w:hAnsi="宋体" w:eastAsia="宋体" w:cs="宋体"/>
                <w:b/>
                <w:color w:val="auto"/>
                <w:kern w:val="0"/>
                <w:sz w:val="22"/>
              </w:rPr>
            </w:pPr>
          </w:p>
          <w:p>
            <w:pPr>
              <w:wordWrap w:val="0"/>
              <w:topLinePunct/>
              <w:snapToGrid w:val="0"/>
              <w:spacing w:line="400" w:lineRule="exact"/>
              <w:ind w:left="1104" w:hanging="1104" w:hangingChars="500"/>
              <w:contextualSpacing/>
              <w:jc w:val="left"/>
              <w:rPr>
                <w:rFonts w:hint="eastAsia" w:ascii="宋体" w:hAnsi="宋体" w:eastAsia="宋体" w:cs="宋体"/>
                <w:color w:val="auto"/>
                <w:sz w:val="22"/>
              </w:rPr>
            </w:pPr>
            <w:r>
              <w:rPr>
                <w:rFonts w:hint="eastAsia" w:ascii="宋体" w:hAnsi="宋体" w:eastAsia="宋体" w:cs="宋体"/>
                <w:b/>
                <w:color w:val="auto"/>
                <w:sz w:val="22"/>
              </w:rPr>
              <w:t>乙方地址：</w:t>
            </w:r>
          </w:p>
          <w:p>
            <w:pPr>
              <w:wordWrap w:val="0"/>
              <w:topLinePunct/>
              <w:snapToGrid w:val="0"/>
              <w:spacing w:line="400" w:lineRule="exact"/>
              <w:contextualSpacing/>
              <w:jc w:val="left"/>
              <w:rPr>
                <w:rFonts w:hint="eastAsia" w:ascii="宋体" w:hAnsi="宋体" w:eastAsia="宋体" w:cs="宋体"/>
                <w:b/>
                <w:color w:val="auto"/>
                <w:sz w:val="22"/>
              </w:rPr>
            </w:pPr>
            <w:r>
              <w:rPr>
                <w:rFonts w:hint="eastAsia" w:ascii="宋体" w:hAnsi="宋体" w:eastAsia="宋体" w:cs="宋体"/>
                <w:b/>
                <w:color w:val="auto"/>
                <w:sz w:val="22"/>
              </w:rPr>
              <w:t>电话：</w:t>
            </w:r>
          </w:p>
          <w:p>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sz w:val="22"/>
              </w:rPr>
              <w:t>传真：</w:t>
            </w:r>
          </w:p>
          <w:p>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sz w:val="22"/>
              </w:rPr>
              <w:t>邮编：</w:t>
            </w:r>
          </w:p>
          <w:p>
            <w:pPr>
              <w:wordWrap w:val="0"/>
              <w:topLinePunct/>
              <w:snapToGrid w:val="0"/>
              <w:spacing w:line="380" w:lineRule="exact"/>
              <w:ind w:left="1082" w:hanging="1082" w:hangingChars="490"/>
              <w:contextualSpacing/>
              <w:jc w:val="left"/>
              <w:rPr>
                <w:rFonts w:hint="eastAsia" w:ascii="宋体" w:hAnsi="宋体" w:eastAsia="宋体" w:cs="宋体"/>
                <w:color w:val="auto"/>
                <w:sz w:val="22"/>
              </w:rPr>
            </w:pPr>
            <w:r>
              <w:rPr>
                <w:rFonts w:hint="eastAsia" w:ascii="宋体" w:hAnsi="宋体" w:eastAsia="宋体" w:cs="宋体"/>
                <w:b/>
                <w:color w:val="auto"/>
                <w:sz w:val="22"/>
              </w:rPr>
              <w:t>开户银行：</w:t>
            </w:r>
          </w:p>
          <w:p>
            <w:pPr>
              <w:wordWrap w:val="0"/>
              <w:topLinePunct/>
              <w:snapToGrid w:val="0"/>
              <w:spacing w:line="380" w:lineRule="exact"/>
              <w:ind w:left="1082" w:hanging="1082" w:hangingChars="490"/>
              <w:contextualSpacing/>
              <w:jc w:val="left"/>
              <w:rPr>
                <w:rFonts w:hint="eastAsia" w:ascii="宋体" w:hAnsi="宋体" w:eastAsia="宋体" w:cs="宋体"/>
                <w:color w:val="auto"/>
                <w:sz w:val="22"/>
              </w:rPr>
            </w:pPr>
            <w:r>
              <w:rPr>
                <w:rFonts w:hint="eastAsia" w:ascii="宋体" w:hAnsi="宋体" w:eastAsia="宋体" w:cs="宋体"/>
                <w:b/>
                <w:color w:val="auto"/>
                <w:sz w:val="22"/>
              </w:rPr>
              <w:t>帐号：</w:t>
            </w:r>
          </w:p>
          <w:p>
            <w:pPr>
              <w:wordWrap w:val="0"/>
              <w:topLinePunct/>
              <w:snapToGrid w:val="0"/>
              <w:spacing w:line="38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乙方代表签字：</w:t>
            </w:r>
          </w:p>
          <w:p>
            <w:pPr>
              <w:wordWrap w:val="0"/>
              <w:topLinePunct/>
              <w:snapToGrid w:val="0"/>
              <w:spacing w:line="400" w:lineRule="exact"/>
              <w:contextualSpacing/>
              <w:jc w:val="left"/>
              <w:rPr>
                <w:rFonts w:hint="eastAsia" w:ascii="宋体" w:hAnsi="宋体" w:eastAsia="宋体" w:cs="宋体"/>
                <w:b/>
                <w:color w:val="auto"/>
                <w:kern w:val="0"/>
                <w:sz w:val="22"/>
              </w:rPr>
            </w:pPr>
          </w:p>
          <w:p>
            <w:pPr>
              <w:wordWrap w:val="0"/>
              <w:topLinePunct/>
              <w:snapToGrid w:val="0"/>
              <w:spacing w:before="240" w:beforeLines="100"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乙方盖章：</w:t>
            </w:r>
          </w:p>
          <w:p>
            <w:pPr>
              <w:wordWrap w:val="0"/>
              <w:topLinePunct/>
              <w:snapToGrid w:val="0"/>
              <w:spacing w:before="240" w:beforeLines="100" w:line="400" w:lineRule="exact"/>
              <w:contextualSpacing/>
              <w:jc w:val="left"/>
              <w:rPr>
                <w:rFonts w:hint="eastAsia" w:ascii="宋体" w:hAnsi="宋体" w:eastAsia="宋体" w:cs="宋体"/>
                <w:b/>
                <w:color w:val="auto"/>
                <w:kern w:val="0"/>
                <w:sz w:val="22"/>
              </w:rPr>
            </w:pPr>
          </w:p>
          <w:p>
            <w:pPr>
              <w:wordWrap w:val="0"/>
              <w:topLinePunct/>
              <w:snapToGrid w:val="0"/>
              <w:spacing w:before="240" w:beforeLines="100" w:line="400" w:lineRule="exact"/>
              <w:contextualSpacing/>
              <w:jc w:val="left"/>
              <w:rPr>
                <w:rFonts w:hint="eastAsia" w:ascii="宋体" w:hAnsi="宋体" w:eastAsia="宋体" w:cs="宋体"/>
                <w:b/>
                <w:color w:val="auto"/>
                <w:sz w:val="22"/>
              </w:rPr>
            </w:pPr>
            <w:r>
              <w:rPr>
                <w:rFonts w:hint="eastAsia" w:ascii="宋体" w:hAnsi="宋体" w:eastAsia="宋体" w:cs="宋体"/>
                <w:b/>
                <w:color w:val="auto"/>
                <w:kern w:val="0"/>
                <w:sz w:val="22"/>
              </w:rPr>
              <w:t>日期：   年   月   日</w:t>
            </w:r>
          </w:p>
        </w:tc>
      </w:tr>
    </w:tbl>
    <w:p>
      <w:pPr>
        <w:jc w:val="left"/>
        <w:rPr>
          <w:rFonts w:hint="eastAsia" w:ascii="宋体" w:hAnsi="宋体" w:eastAsia="宋体" w:cs="宋体"/>
          <w:b/>
          <w:color w:val="FF0000"/>
          <w:sz w:val="22"/>
        </w:rPr>
      </w:pPr>
    </w:p>
    <w:p>
      <w:pPr>
        <w:jc w:val="left"/>
        <w:rPr>
          <w:rFonts w:hint="eastAsia" w:ascii="宋体" w:hAnsi="宋体" w:eastAsia="宋体" w:cs="宋体"/>
          <w:b/>
          <w:color w:val="FF0000"/>
          <w:sz w:val="22"/>
        </w:rPr>
        <w:sectPr>
          <w:pgSz w:w="11906" w:h="16838"/>
          <w:pgMar w:top="1440" w:right="1797" w:bottom="1440" w:left="1797" w:header="851" w:footer="992" w:gutter="0"/>
          <w:cols w:space="720" w:num="1"/>
          <w:docGrid w:linePitch="312" w:charSpace="0"/>
        </w:sectPr>
      </w:pPr>
    </w:p>
    <w:p>
      <w:pPr>
        <w:jc w:val="center"/>
        <w:outlineLvl w:val="0"/>
        <w:rPr>
          <w:rFonts w:hint="eastAsia" w:ascii="宋体" w:hAnsi="宋体" w:eastAsia="宋体" w:cs="宋体"/>
          <w:b/>
          <w:color w:val="auto"/>
          <w:sz w:val="36"/>
          <w:szCs w:val="36"/>
        </w:rPr>
      </w:pPr>
      <w:bookmarkStart w:id="25" w:name="_Toc9965370"/>
      <w:bookmarkStart w:id="26" w:name="_Toc98428734"/>
      <w:bookmarkStart w:id="27" w:name="_Toc62744228"/>
      <w:r>
        <w:rPr>
          <w:rFonts w:hint="eastAsia" w:ascii="宋体" w:hAnsi="宋体" w:eastAsia="宋体" w:cs="宋体"/>
          <w:b/>
          <w:color w:val="auto"/>
          <w:sz w:val="36"/>
          <w:szCs w:val="36"/>
        </w:rPr>
        <w:t>合同通用条款</w:t>
      </w:r>
      <w:bookmarkEnd w:id="25"/>
      <w:r>
        <w:rPr>
          <w:rFonts w:hint="eastAsia" w:ascii="宋体" w:hAnsi="宋体" w:eastAsia="宋体" w:cs="宋体"/>
          <w:b/>
          <w:color w:val="auto"/>
          <w:sz w:val="36"/>
          <w:szCs w:val="36"/>
        </w:rPr>
        <w:t>（参考文本）</w:t>
      </w:r>
      <w:bookmarkEnd w:id="26"/>
      <w:bookmarkEnd w:id="27"/>
    </w:p>
    <w:p>
      <w:pPr>
        <w:rPr>
          <w:rFonts w:hint="eastAsia" w:ascii="宋体" w:hAnsi="宋体" w:eastAsia="宋体" w:cs="宋体"/>
          <w:color w:val="auto"/>
          <w:sz w:val="22"/>
        </w:rPr>
      </w:pPr>
    </w:p>
    <w:p>
      <w:pPr>
        <w:spacing w:line="360" w:lineRule="auto"/>
        <w:jc w:val="center"/>
        <w:rPr>
          <w:rFonts w:hint="eastAsia" w:ascii="宋体" w:hAnsi="宋体" w:eastAsia="宋体" w:cs="宋体"/>
          <w:color w:val="auto"/>
          <w:sz w:val="22"/>
        </w:rPr>
      </w:pPr>
      <w:r>
        <w:rPr>
          <w:rFonts w:hint="eastAsia" w:ascii="宋体" w:hAnsi="宋体" w:eastAsia="宋体" w:cs="宋体"/>
          <w:color w:val="auto"/>
          <w:sz w:val="22"/>
        </w:rPr>
        <w:t>（本部分合同通用条款为成交后，签订采购合同时参考使用文本）</w:t>
      </w:r>
    </w:p>
    <w:p>
      <w:pPr>
        <w:spacing w:line="360" w:lineRule="auto"/>
        <w:ind w:firstLine="442" w:firstLineChars="200"/>
        <w:rPr>
          <w:rFonts w:hint="eastAsia" w:ascii="宋体" w:hAnsi="宋体" w:eastAsia="宋体" w:cs="宋体"/>
          <w:b/>
          <w:color w:val="auto"/>
          <w:sz w:val="22"/>
        </w:rPr>
      </w:pPr>
      <w:r>
        <w:rPr>
          <w:rFonts w:hint="eastAsia" w:ascii="宋体" w:hAnsi="宋体" w:eastAsia="宋体" w:cs="宋体"/>
          <w:b/>
          <w:color w:val="auto"/>
          <w:sz w:val="22"/>
        </w:rPr>
        <w:t>1.定义</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本合同下列术语应解释为：</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(1)“合同”指甲乙双方签署的、合同格式中载明的甲乙双方所达成的协议，包括所有的附件、附录和上述文件所提到的构成合同的所有文件；</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(2)“合同价”指根据合同规定乙方在正确地完全履行合同义务后甲方应支付给乙方的价格；</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(3)“货物”指乙方根据合同规定须向甲方提供的一切货物、设备、材料、备件、工具和／或其它材料；</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(4)“服务”指根据合同规定乙方承担的与供货有关的辅助服务，比如运输、保险以及其它的伴随服务，比如安装、调试、提供技术援助、培训和合同中规定乙方应承担的其它义务；</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(5)“项目现场”指本合同项下货物安装、运行的场地；</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(6)“天”指日历天数。</w:t>
      </w:r>
    </w:p>
    <w:p>
      <w:pPr>
        <w:wordWrap w:val="0"/>
        <w:topLinePunct/>
        <w:spacing w:line="360" w:lineRule="auto"/>
        <w:ind w:firstLine="442" w:firstLineChars="200"/>
        <w:jc w:val="left"/>
        <w:rPr>
          <w:rFonts w:hint="eastAsia" w:ascii="宋体" w:hAnsi="宋体" w:eastAsia="宋体" w:cs="宋体"/>
          <w:b/>
          <w:color w:val="auto"/>
          <w:sz w:val="22"/>
        </w:rPr>
      </w:pPr>
      <w:r>
        <w:rPr>
          <w:rFonts w:hint="eastAsia" w:ascii="宋体" w:hAnsi="宋体" w:eastAsia="宋体" w:cs="宋体"/>
          <w:b/>
          <w:color w:val="auto"/>
          <w:sz w:val="22"/>
        </w:rPr>
        <w:t>2.适用性</w:t>
      </w:r>
    </w:p>
    <w:p>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sz w:val="22"/>
        </w:rPr>
        <w:t>2.1本合同条款适用于没有被本项目磋商文件规定条款、成交人响应文件承诺条款所取代的范围。</w:t>
      </w:r>
    </w:p>
    <w:p>
      <w:pPr>
        <w:wordWrap w:val="0"/>
        <w:topLinePunct/>
        <w:spacing w:line="360" w:lineRule="auto"/>
        <w:ind w:firstLine="433" w:firstLineChars="196"/>
        <w:jc w:val="left"/>
        <w:rPr>
          <w:rFonts w:hint="eastAsia" w:ascii="宋体" w:hAnsi="宋体" w:eastAsia="宋体" w:cs="宋体"/>
          <w:b/>
          <w:color w:val="auto"/>
          <w:kern w:val="0"/>
          <w:sz w:val="22"/>
        </w:rPr>
      </w:pPr>
      <w:r>
        <w:rPr>
          <w:rFonts w:hint="eastAsia" w:ascii="宋体" w:hAnsi="宋体" w:eastAsia="宋体" w:cs="宋体"/>
          <w:b/>
          <w:color w:val="auto"/>
          <w:kern w:val="0"/>
          <w:sz w:val="22"/>
        </w:rPr>
        <w:t>3.标准</w:t>
      </w:r>
    </w:p>
    <w:p>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sz w:val="22"/>
        </w:rPr>
        <w:t>3.1本合同下提供的服务应符合磋商文件中服务要求与商务要求所述的标准。如果没有提及适用标准，则应符合中华人民共和国有关机构发布的最新版本的标准。</w:t>
      </w:r>
    </w:p>
    <w:p>
      <w:pPr>
        <w:wordWrap w:val="0"/>
        <w:topLinePunct/>
        <w:spacing w:line="360" w:lineRule="auto"/>
        <w:ind w:firstLine="442" w:firstLineChars="200"/>
        <w:jc w:val="left"/>
        <w:rPr>
          <w:rFonts w:hint="eastAsia" w:ascii="宋体" w:hAnsi="宋体" w:eastAsia="宋体" w:cs="宋体"/>
          <w:b/>
          <w:color w:val="auto"/>
          <w:sz w:val="22"/>
        </w:rPr>
      </w:pPr>
      <w:bookmarkStart w:id="28" w:name="_Toc167715237"/>
      <w:bookmarkStart w:id="29" w:name="_Toc167714040"/>
      <w:bookmarkStart w:id="30" w:name="_Toc167712842"/>
      <w:r>
        <w:rPr>
          <w:rFonts w:hint="eastAsia" w:ascii="宋体" w:hAnsi="宋体" w:eastAsia="宋体" w:cs="宋体"/>
          <w:b/>
          <w:color w:val="auto"/>
          <w:sz w:val="22"/>
        </w:rPr>
        <w:t>4.</w:t>
      </w:r>
      <w:bookmarkEnd w:id="28"/>
      <w:bookmarkEnd w:id="29"/>
      <w:bookmarkEnd w:id="30"/>
      <w:r>
        <w:rPr>
          <w:rFonts w:hint="eastAsia" w:ascii="宋体" w:hAnsi="宋体" w:eastAsia="宋体" w:cs="宋体"/>
          <w:b/>
          <w:color w:val="auto"/>
          <w:sz w:val="22"/>
        </w:rPr>
        <w:t xml:space="preserve">质量保证 </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4.1甲方有权对乙方服务进行监督，如乙方未达到服务质量标准，甲方有权进行适量赔偿或终止服务合同。</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4.2在服务期内，甲方会根据国家相关法律法规、行业规范、内部规章制度及合同，对乙方工作人员在本项目中的工作进行监督，并不定期进行考核。</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4.3甲方负责牵头成立项目管理委员会，主要收集整理各方面对本项目的意见和建议，甲方组织召开项目管理委员会会议，乙方应参加并对提出问题进行整改，在会议上提出整改意见后，乙方落实不到位的，甲方可无条件解除采购合同。</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4.4甲方如遇政策性调整或其他特殊原因，直至有可能解除采购合同的情况下，可提前书面告知乙方，按照当月实际天数费用结算，甲方不承担其他违约责任，即可终止合同。</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4.5乙方在服务期内，应严格遵守中华人民共和国的现行法律法规，及乙方和甲方内部的相关管理制度，并应保障制度的有效执行。</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4.6乙方在服务期内，应爱护公物，合理使用设备设施。否则，因乙方服务人员使用不当而对设备设施造成损坏的，由乙方承担一切责任和经济损失。</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4.7乙方派驻的技术人员在服务期间，因特殊原因无法继续提供服务的，在征得甲方的同意后，由乙方及时将人员予以调配，保证工作的正常进行。新替换人员应根据相关规定做好人员备案工作。</w:t>
      </w:r>
    </w:p>
    <w:p>
      <w:pPr>
        <w:tabs>
          <w:tab w:val="left" w:pos="3544"/>
        </w:tabs>
        <w:wordWrap w:val="0"/>
        <w:topLinePunct/>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4.8服务期间，乙方派出人员发生的任何意外伤害，均由乙方承担全部责任和赔偿。</w:t>
      </w:r>
    </w:p>
    <w:p>
      <w:pPr>
        <w:tabs>
          <w:tab w:val="left" w:pos="3544"/>
        </w:tabs>
        <w:wordWrap w:val="0"/>
        <w:topLinePunct/>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4.9服务期间，乙方必须要按照甲方要求对于突发事件提供应急服务和保障。</w:t>
      </w:r>
    </w:p>
    <w:p>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sz w:val="22"/>
        </w:rPr>
        <w:t>4.10乙方除因特殊情况外，造成数据或系统设备的损坏与丢失，甲方有权要求乙方进行适当赔偿。</w:t>
      </w:r>
    </w:p>
    <w:p>
      <w:pPr>
        <w:wordWrap w:val="0"/>
        <w:topLinePunct/>
        <w:spacing w:line="360" w:lineRule="auto"/>
        <w:jc w:val="left"/>
        <w:rPr>
          <w:rFonts w:hint="eastAsia" w:ascii="宋体" w:hAnsi="宋体" w:eastAsia="宋体" w:cs="宋体"/>
          <w:b/>
          <w:color w:val="auto"/>
          <w:kern w:val="0"/>
          <w:sz w:val="22"/>
        </w:rPr>
      </w:pPr>
      <w:r>
        <w:rPr>
          <w:rFonts w:hint="eastAsia" w:ascii="宋体" w:hAnsi="宋体" w:eastAsia="宋体" w:cs="宋体"/>
          <w:b/>
          <w:color w:val="auto"/>
          <w:kern w:val="0"/>
          <w:sz w:val="22"/>
        </w:rPr>
        <w:t xml:space="preserve">    5.索赔</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5.1如果乙方对偏差负有责任，而甲方在服务期内提出了索赔，乙方应按照甲方同意的下列一种或几种方式结合起来解决索赔事宜：</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⑴乙方同意用合同规定的货币将合同款退还给甲方，并承担由此发生的一切损失和费用，包括利息、银行手续费等其它必要费用。</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⑵根据服务的偏差情况、以及甲方所遭受损失的金额，经甲乙双方商定降低服务价格。</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5.2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若索赔金额超过未付款项的，乙方必须进行弥补。</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6.款项结算</w:t>
      </w:r>
    </w:p>
    <w:p>
      <w:pPr>
        <w:pStyle w:val="4"/>
        <w:wordWrap w:val="0"/>
        <w:topLinePunct/>
        <w:spacing w:line="360" w:lineRule="auto"/>
        <w:ind w:firstLine="440" w:firstLineChars="200"/>
        <w:jc w:val="left"/>
        <w:rPr>
          <w:rFonts w:hint="default" w:ascii="宋体" w:hAnsi="宋体" w:eastAsia="宋体" w:cs="宋体"/>
          <w:color w:val="auto"/>
          <w:sz w:val="22"/>
          <w:szCs w:val="24"/>
          <w:lang w:val="en-US" w:eastAsia="zh-CN"/>
        </w:rPr>
      </w:pPr>
      <w:r>
        <w:rPr>
          <w:rFonts w:hint="eastAsia" w:ascii="宋体" w:hAnsi="宋体" w:cs="宋体"/>
          <w:color w:val="auto"/>
          <w:sz w:val="22"/>
          <w:szCs w:val="24"/>
          <w:lang w:val="en-US" w:eastAsia="zh-CN"/>
        </w:rPr>
        <w:t>6.1支付方式：分期付款；</w:t>
      </w:r>
    </w:p>
    <w:p>
      <w:pPr>
        <w:pStyle w:val="4"/>
        <w:wordWrap w:val="0"/>
        <w:topLinePunct/>
        <w:spacing w:line="360" w:lineRule="auto"/>
        <w:ind w:firstLine="440" w:firstLineChars="200"/>
        <w:jc w:val="left"/>
        <w:rPr>
          <w:rFonts w:hint="eastAsia" w:ascii="宋体" w:hAnsi="宋体" w:cs="宋体"/>
          <w:color w:val="auto"/>
          <w:sz w:val="22"/>
          <w:szCs w:val="24"/>
          <w:lang w:val="en-US" w:eastAsia="zh-CN"/>
        </w:rPr>
      </w:pPr>
      <w:r>
        <w:rPr>
          <w:rFonts w:hint="eastAsia" w:ascii="宋体" w:hAnsi="宋体" w:cs="宋体"/>
          <w:color w:val="auto"/>
          <w:sz w:val="22"/>
          <w:szCs w:val="24"/>
          <w:lang w:val="en-US" w:eastAsia="zh-CN"/>
        </w:rPr>
        <w:t>6.2支付约定：</w:t>
      </w:r>
    </w:p>
    <w:p>
      <w:pPr>
        <w:pStyle w:val="4"/>
        <w:wordWrap w:val="0"/>
        <w:topLinePunct/>
        <w:spacing w:line="360" w:lineRule="auto"/>
        <w:ind w:firstLine="440" w:firstLineChars="200"/>
        <w:jc w:val="left"/>
        <w:rPr>
          <w:rFonts w:hint="default" w:ascii="宋体" w:hAnsi="宋体" w:cs="宋体"/>
          <w:color w:val="auto"/>
          <w:sz w:val="22"/>
          <w:szCs w:val="24"/>
          <w:lang w:val="en-US" w:eastAsia="zh-CN"/>
        </w:rPr>
      </w:pPr>
      <w:r>
        <w:rPr>
          <w:rFonts w:hint="eastAsia" w:ascii="宋体" w:hAnsi="宋体" w:cs="宋体"/>
          <w:color w:val="auto"/>
          <w:sz w:val="22"/>
          <w:szCs w:val="24"/>
          <w:lang w:val="en-US" w:eastAsia="zh-CN"/>
        </w:rPr>
        <w:t>（1）、签订本合同，达到付款条件起</w:t>
      </w:r>
      <w:r>
        <w:rPr>
          <w:rFonts w:hint="default" w:ascii="宋体" w:hAnsi="宋体" w:cs="宋体"/>
          <w:color w:val="auto"/>
          <w:sz w:val="22"/>
          <w:szCs w:val="24"/>
          <w:lang w:val="en-US" w:eastAsia="zh-CN"/>
        </w:rPr>
        <w:t>10</w:t>
      </w:r>
      <w:r>
        <w:rPr>
          <w:rFonts w:hint="eastAsia" w:ascii="宋体" w:hAnsi="宋体" w:cs="宋体"/>
          <w:color w:val="auto"/>
          <w:sz w:val="22"/>
          <w:szCs w:val="24"/>
          <w:lang w:val="en-US" w:eastAsia="zh-CN"/>
        </w:rPr>
        <w:t>日内，支付合同总金额的</w:t>
      </w:r>
      <w:r>
        <w:rPr>
          <w:rFonts w:hint="default" w:ascii="宋体" w:hAnsi="宋体" w:cs="宋体"/>
          <w:color w:val="auto"/>
          <w:sz w:val="22"/>
          <w:szCs w:val="24"/>
          <w:lang w:val="en-US" w:eastAsia="zh-CN"/>
        </w:rPr>
        <w:t>60.00%</w:t>
      </w:r>
      <w:r>
        <w:rPr>
          <w:rFonts w:hint="eastAsia" w:ascii="宋体" w:hAnsi="宋体" w:cs="宋体"/>
          <w:color w:val="auto"/>
          <w:sz w:val="22"/>
          <w:szCs w:val="24"/>
          <w:lang w:val="en-US" w:eastAsia="zh-CN"/>
        </w:rPr>
        <w:t>。</w:t>
      </w:r>
    </w:p>
    <w:p>
      <w:pPr>
        <w:pStyle w:val="4"/>
        <w:wordWrap w:val="0"/>
        <w:topLinePunct/>
        <w:spacing w:line="360" w:lineRule="auto"/>
        <w:ind w:firstLine="440" w:firstLineChars="200"/>
        <w:jc w:val="left"/>
        <w:rPr>
          <w:rFonts w:hint="default" w:ascii="宋体" w:hAnsi="宋体" w:cs="宋体"/>
          <w:color w:val="auto"/>
          <w:sz w:val="22"/>
          <w:szCs w:val="24"/>
          <w:lang w:val="en-US" w:eastAsia="zh-CN"/>
        </w:rPr>
      </w:pPr>
      <w:r>
        <w:rPr>
          <w:rFonts w:hint="eastAsia" w:ascii="宋体" w:hAnsi="宋体" w:cs="宋体"/>
          <w:color w:val="auto"/>
          <w:sz w:val="22"/>
          <w:szCs w:val="24"/>
          <w:lang w:val="en-US" w:eastAsia="zh-CN"/>
        </w:rPr>
        <w:t>（2）、全部编撰工作完成，达到付款条件起</w:t>
      </w:r>
      <w:r>
        <w:rPr>
          <w:rFonts w:hint="default" w:ascii="宋体" w:hAnsi="宋体" w:cs="宋体"/>
          <w:color w:val="auto"/>
          <w:sz w:val="22"/>
          <w:szCs w:val="24"/>
          <w:lang w:val="en-US" w:eastAsia="zh-CN"/>
        </w:rPr>
        <w:t>10</w:t>
      </w:r>
      <w:r>
        <w:rPr>
          <w:rFonts w:hint="eastAsia" w:ascii="宋体" w:hAnsi="宋体" w:cs="宋体"/>
          <w:color w:val="auto"/>
          <w:sz w:val="22"/>
          <w:szCs w:val="24"/>
          <w:lang w:val="en-US" w:eastAsia="zh-CN"/>
        </w:rPr>
        <w:t>日内，支付合同总金额的</w:t>
      </w:r>
      <w:r>
        <w:rPr>
          <w:rFonts w:hint="default" w:ascii="宋体" w:hAnsi="宋体" w:cs="宋体"/>
          <w:color w:val="auto"/>
          <w:sz w:val="22"/>
          <w:szCs w:val="24"/>
          <w:lang w:val="en-US" w:eastAsia="zh-CN"/>
        </w:rPr>
        <w:t>30.00%</w:t>
      </w:r>
      <w:r>
        <w:rPr>
          <w:rFonts w:hint="eastAsia" w:ascii="宋体" w:hAnsi="宋体" w:cs="宋体"/>
          <w:color w:val="auto"/>
          <w:sz w:val="22"/>
          <w:szCs w:val="24"/>
          <w:lang w:val="en-US" w:eastAsia="zh-CN"/>
        </w:rPr>
        <w:t>。    （3）、全部工作完成并通过验收，达到付款条件起</w:t>
      </w:r>
      <w:r>
        <w:rPr>
          <w:rFonts w:hint="default" w:ascii="宋体" w:hAnsi="宋体" w:cs="宋体"/>
          <w:color w:val="auto"/>
          <w:sz w:val="22"/>
          <w:szCs w:val="24"/>
          <w:lang w:val="en-US" w:eastAsia="zh-CN"/>
        </w:rPr>
        <w:t>10</w:t>
      </w:r>
      <w:r>
        <w:rPr>
          <w:rFonts w:hint="eastAsia" w:ascii="宋体" w:hAnsi="宋体" w:cs="宋体"/>
          <w:color w:val="auto"/>
          <w:sz w:val="22"/>
          <w:szCs w:val="24"/>
          <w:lang w:val="en-US" w:eastAsia="zh-CN"/>
        </w:rPr>
        <w:t>日内，支付合同总金额的</w:t>
      </w:r>
      <w:r>
        <w:rPr>
          <w:rFonts w:hint="default" w:ascii="宋体" w:hAnsi="宋体" w:cs="宋体"/>
          <w:color w:val="auto"/>
          <w:sz w:val="22"/>
          <w:szCs w:val="24"/>
          <w:lang w:val="en-US" w:eastAsia="zh-CN"/>
        </w:rPr>
        <w:t>10.00%</w:t>
      </w:r>
      <w:r>
        <w:rPr>
          <w:rFonts w:hint="eastAsia" w:ascii="宋体" w:hAnsi="宋体" w:cs="宋体"/>
          <w:color w:val="auto"/>
          <w:sz w:val="22"/>
          <w:szCs w:val="24"/>
          <w:lang w:val="en-US" w:eastAsia="zh-CN"/>
        </w:rPr>
        <w:t>。</w:t>
      </w:r>
    </w:p>
    <w:p>
      <w:pPr>
        <w:tabs>
          <w:tab w:val="left" w:pos="3600"/>
        </w:tabs>
        <w:wordWrap w:val="0"/>
        <w:topLinePunct/>
        <w:spacing w:line="360" w:lineRule="auto"/>
        <w:ind w:left="308" w:leftChars="171" w:firstLine="110" w:firstLineChars="50"/>
        <w:jc w:val="left"/>
        <w:rPr>
          <w:rFonts w:hint="eastAsia" w:ascii="宋体" w:hAnsi="宋体" w:eastAsia="宋体" w:cs="宋体"/>
          <w:b/>
          <w:color w:val="auto"/>
          <w:kern w:val="0"/>
          <w:sz w:val="22"/>
        </w:rPr>
      </w:pPr>
      <w:r>
        <w:rPr>
          <w:rFonts w:hint="eastAsia" w:ascii="宋体" w:hAnsi="宋体" w:eastAsia="宋体" w:cs="宋体"/>
          <w:b/>
          <w:color w:val="auto"/>
          <w:kern w:val="0"/>
          <w:sz w:val="22"/>
        </w:rPr>
        <w:t>7.转让</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7.1未经甲方事先书面同意，乙方不得部分转让或全部转让其应履行的合同义务。</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8.乙方履约延误</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8.1乙方应在规定的服务期内</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合同签订后</w:t>
      </w:r>
      <w:r>
        <w:rPr>
          <w:rFonts w:hint="eastAsia" w:ascii="宋体" w:hAnsi="宋体" w:cs="宋体"/>
          <w:color w:val="auto"/>
          <w:kern w:val="0"/>
          <w:sz w:val="22"/>
          <w:lang w:val="en-US" w:eastAsia="zh-CN"/>
        </w:rPr>
        <w:t>6</w:t>
      </w:r>
      <w:r>
        <w:rPr>
          <w:rFonts w:hint="eastAsia" w:ascii="宋体" w:hAnsi="宋体" w:eastAsia="宋体" w:cs="宋体"/>
          <w:color w:val="auto"/>
          <w:kern w:val="0"/>
          <w:sz w:val="22"/>
        </w:rPr>
        <w:t>0日历天内</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完成工作。</w:t>
      </w:r>
    </w:p>
    <w:p>
      <w:pPr>
        <w:wordWrap w:val="0"/>
        <w:topLinePunct/>
        <w:spacing w:line="360" w:lineRule="auto"/>
        <w:ind w:firstLine="440" w:firstLineChars="200"/>
        <w:jc w:val="left"/>
        <w:rPr>
          <w:rFonts w:hint="eastAsia" w:ascii="宋体" w:hAnsi="宋体" w:eastAsia="宋体" w:cs="宋体"/>
          <w:b w:val="0"/>
          <w:bCs/>
          <w:color w:val="auto"/>
          <w:kern w:val="0"/>
          <w:sz w:val="22"/>
        </w:rPr>
      </w:pPr>
      <w:r>
        <w:rPr>
          <w:rFonts w:hint="eastAsia" w:ascii="宋体" w:hAnsi="宋体" w:cs="宋体"/>
          <w:b w:val="0"/>
          <w:bCs/>
          <w:color w:val="auto"/>
          <w:kern w:val="0"/>
          <w:sz w:val="22"/>
          <w:lang w:val="en-US" w:eastAsia="zh-CN"/>
        </w:rPr>
        <w:t>8.2</w:t>
      </w:r>
      <w:r>
        <w:rPr>
          <w:rFonts w:hint="eastAsia" w:ascii="宋体" w:hAnsi="宋体" w:cs="宋体"/>
          <w:b w:val="0"/>
          <w:bCs/>
          <w:color w:val="auto"/>
          <w:kern w:val="0"/>
          <w:sz w:val="22"/>
          <w:lang w:eastAsia="zh-CN"/>
        </w:rPr>
        <w:t>甲方</w:t>
      </w:r>
      <w:r>
        <w:rPr>
          <w:rFonts w:hint="eastAsia" w:ascii="宋体" w:hAnsi="宋体" w:eastAsia="宋体" w:cs="宋体"/>
          <w:b w:val="0"/>
          <w:bCs/>
          <w:color w:val="auto"/>
          <w:kern w:val="0"/>
          <w:sz w:val="22"/>
        </w:rPr>
        <w:t>或</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 xml:space="preserve">违反合同规定造成损失的应承担违约责任； </w:t>
      </w:r>
    </w:p>
    <w:p>
      <w:pPr>
        <w:wordWrap w:val="0"/>
        <w:topLinePunct/>
        <w:spacing w:line="360" w:lineRule="auto"/>
        <w:ind w:firstLine="440" w:firstLineChars="200"/>
        <w:jc w:val="left"/>
        <w:rPr>
          <w:rFonts w:hint="eastAsia" w:ascii="宋体" w:hAnsi="宋体" w:eastAsia="宋体" w:cs="宋体"/>
          <w:b w:val="0"/>
          <w:bCs/>
          <w:color w:val="auto"/>
          <w:kern w:val="0"/>
          <w:sz w:val="22"/>
        </w:rPr>
      </w:pPr>
      <w:r>
        <w:rPr>
          <w:rFonts w:hint="eastAsia" w:ascii="宋体" w:hAnsi="宋体" w:cs="宋体"/>
          <w:b w:val="0"/>
          <w:bCs/>
          <w:color w:val="auto"/>
          <w:kern w:val="0"/>
          <w:sz w:val="22"/>
          <w:lang w:val="en-US" w:eastAsia="zh-CN"/>
        </w:rPr>
        <w:t>8.3</w:t>
      </w:r>
      <w:r>
        <w:rPr>
          <w:rFonts w:hint="eastAsia" w:ascii="宋体" w:hAnsi="宋体" w:eastAsia="宋体" w:cs="宋体"/>
          <w:b w:val="0"/>
          <w:bCs/>
          <w:color w:val="auto"/>
          <w:kern w:val="0"/>
          <w:sz w:val="22"/>
        </w:rPr>
        <w:t>因成果报告深度不够、资料不足而被要求返工从而造成问题的，除由</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负责继续完善报告外，甲方还可视造成的时间延误和费用损失，计扣</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合同价1%～3%的违约金。</w:t>
      </w:r>
    </w:p>
    <w:p>
      <w:pPr>
        <w:wordWrap w:val="0"/>
        <w:topLinePunct/>
        <w:spacing w:line="360" w:lineRule="auto"/>
        <w:ind w:firstLine="440" w:firstLineChars="200"/>
        <w:jc w:val="left"/>
        <w:rPr>
          <w:rFonts w:hint="eastAsia" w:ascii="宋体" w:hAnsi="宋体" w:eastAsia="宋体" w:cs="宋体"/>
          <w:b w:val="0"/>
          <w:bCs/>
          <w:color w:val="auto"/>
          <w:kern w:val="0"/>
          <w:sz w:val="22"/>
        </w:rPr>
      </w:pPr>
      <w:r>
        <w:rPr>
          <w:rFonts w:hint="eastAsia" w:ascii="宋体" w:hAnsi="宋体" w:cs="宋体"/>
          <w:b w:val="0"/>
          <w:bCs/>
          <w:color w:val="auto"/>
          <w:kern w:val="0"/>
          <w:sz w:val="22"/>
          <w:lang w:val="en-US" w:eastAsia="zh-CN"/>
        </w:rPr>
        <w:t>8.4</w:t>
      </w:r>
      <w:r>
        <w:rPr>
          <w:rFonts w:hint="eastAsia" w:ascii="宋体" w:hAnsi="宋体" w:eastAsia="宋体" w:cs="宋体"/>
          <w:b w:val="0"/>
          <w:bCs/>
          <w:color w:val="auto"/>
          <w:kern w:val="0"/>
          <w:sz w:val="22"/>
        </w:rPr>
        <w:t>由于</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自身原因，延误了成果交付时间，视延误情况酌情扣除费用的1%～3%。</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8.</w:t>
      </w:r>
      <w:r>
        <w:rPr>
          <w:rFonts w:hint="eastAsia" w:ascii="宋体" w:hAnsi="宋体" w:cs="宋体"/>
          <w:color w:val="auto"/>
          <w:kern w:val="0"/>
          <w:sz w:val="22"/>
          <w:lang w:val="en-US" w:eastAsia="zh-CN"/>
        </w:rPr>
        <w:t>5</w:t>
      </w:r>
      <w:r>
        <w:rPr>
          <w:rFonts w:hint="eastAsia" w:ascii="宋体" w:hAnsi="宋体" w:eastAsia="宋体" w:cs="宋体"/>
          <w:color w:val="auto"/>
          <w:kern w:val="0"/>
          <w:sz w:val="22"/>
        </w:rPr>
        <w:t>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9.违约终止合同</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9.1在甲方对乙方违约而采取的任何补救措施不受影响的情况下，甲方可向乙方发出书面违约通知书，提出终止部分或全部合同：</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⑴如果乙方未能在合同规定的期限内或甲方根据合同条款第8.2条的规定同意延长的期限内提供服务。</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⑵如果乙方未能履行合同规定的其它任何义务。</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⑶如果甲方认为乙方在本合同的竞争和实施过程中有腐败和欺诈行为。为此目的，定义下述条件：</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“腐败行为”是指提供、给予、接受或索取任何有价值的物品来影响甲方在采购过程或合同实施过程中的行为。</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“欺诈行为”是指为了影响采购过程或合同实施过程而谎报或隐瞒事实，损害甲方利益的行为。</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9.2如果甲方根据上述第9.1条的规定，终止了全部或部分合同，甲方可以依其认为适当的条件和方法购买类似的服务，乙方应承担甲方因购买类似服务而产生的额外支出。但是，乙方应继续执行合同中未终止的部分。</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10.不可抗力</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10.1签约双方任何一方由于不可抗力事件的影响而不能执行合同时，履行合同的期限应予延长，其延长的期限应相当于事件所影响的时间。不可抗力事件是指甲乙双方在缔结合同时所不能预见的，并且它的发生及其后果是无法避免和无法克服的事件，诸如战争、严重火灾、洪水、台风、地震、疫情等。</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10.2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10.3因合同一方迟延履行合同后发生不可抗力的，不能免除迟延履行方的相应责任。</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11.因破产而终止合同</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11.1如果乙方破产或无清偿能力，甲方可在任何时候以书面形式通知乙方，提出终止合同而不给乙方补偿。该合同的终止将不损害或影响甲方已经采取或将要采取的任何行动或补救措施的权力。</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12.因甲方的便利而终止合同</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12.1甲方可在任何时候出于自身的便利向乙方发出书面通知全部或部分终止合同，终止通知应明确该终止合同是出于甲方的便利，并明确合同终止的程度，以及终止的生效日期。</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12.2对乙方收到终止通知后三十（30）天内完成的服务，甲方应按原合同价格和条款予以接收，对于剩下的服务，甲方可：</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 xml:space="preserve">⑴仅对部分服务按照原来的合同价格和条款予以接受； </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⑵取消对所剩服务的采购，并按双方商定的金额向乙方支付部分完成服务的费用。</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13.争议的解决</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13.1因执行本合同所发生的或与本合同有关的一切争议,双方应通过友好协商解决。如果协商开始后六十（60）天还不能解决，任何一方均可按中华人民共和国有关法律的规定提交仲裁。仲裁地点为采购人所在地的仲裁委员会。</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13.2仲裁裁决应为最终裁决，对双方均具有约束力。</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13.3仲裁费除仲裁机关另有裁决外均应由败诉方负担。</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13.4在仲裁期间，除正在进行仲裁的部分外，本合同其它部分应继续执行。</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14.通知</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14.1本合同一方给对方的通知应用书面形式送到对方的地址。传真要经书面确认。</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14.2通知以送到日期或通知书的生效日期为生效日期，两者中以晚的一个日期为准。</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15.税款</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15.1按照中华人民共和国税法和有关部门的规定，甲方需交纳的与本合同有关的一切税费均应由甲方负担。</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15.2按照中华人民共和国税法和有关部门的规定，乙方需交纳的与本合同有关的一切税费均应由乙方负担。</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w:t>
      </w:r>
      <w:r>
        <w:rPr>
          <w:rFonts w:hint="eastAsia" w:ascii="宋体" w:hAnsi="宋体" w:cs="宋体"/>
          <w:b/>
          <w:color w:val="auto"/>
          <w:kern w:val="0"/>
          <w:sz w:val="22"/>
          <w:lang w:val="en-US" w:eastAsia="zh-CN"/>
        </w:rPr>
        <w:t>6</w:t>
      </w:r>
      <w:r>
        <w:rPr>
          <w:rFonts w:hint="eastAsia" w:ascii="宋体" w:hAnsi="宋体" w:eastAsia="宋体" w:cs="宋体"/>
          <w:b/>
          <w:color w:val="auto"/>
          <w:kern w:val="0"/>
          <w:sz w:val="22"/>
        </w:rPr>
        <w:t>.其他</w:t>
      </w:r>
    </w:p>
    <w:p>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6</w:t>
      </w:r>
      <w:r>
        <w:rPr>
          <w:rFonts w:hint="eastAsia" w:ascii="宋体" w:hAnsi="宋体" w:eastAsia="宋体" w:cs="宋体"/>
          <w:color w:val="auto"/>
          <w:kern w:val="0"/>
          <w:sz w:val="22"/>
        </w:rPr>
        <w:t>.1</w:t>
      </w:r>
      <w:r>
        <w:rPr>
          <w:rFonts w:hint="eastAsia" w:ascii="宋体" w:hAnsi="宋体" w:eastAsia="宋体" w:cs="宋体"/>
          <w:color w:val="auto"/>
          <w:sz w:val="22"/>
        </w:rPr>
        <w:t>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6</w:t>
      </w:r>
      <w:r>
        <w:rPr>
          <w:rFonts w:hint="eastAsia" w:ascii="宋体" w:hAnsi="宋体" w:eastAsia="宋体" w:cs="宋体"/>
          <w:color w:val="auto"/>
          <w:kern w:val="0"/>
          <w:sz w:val="22"/>
        </w:rPr>
        <w:t>.2本合同应按照中华人民共和国的现行法律进行解释。</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6</w:t>
      </w:r>
      <w:r>
        <w:rPr>
          <w:rFonts w:hint="eastAsia" w:ascii="宋体" w:hAnsi="宋体" w:eastAsia="宋体" w:cs="宋体"/>
          <w:color w:val="auto"/>
          <w:kern w:val="0"/>
          <w:sz w:val="22"/>
        </w:rPr>
        <w:t>.3本合同语言为简体中文，双方交换的与合同有关的信函均按此书写。</w:t>
      </w:r>
    </w:p>
    <w:p>
      <w:pPr>
        <w:wordWrap w:val="0"/>
        <w:topLinePunct/>
        <w:spacing w:line="360" w:lineRule="auto"/>
        <w:ind w:firstLine="441"/>
        <w:jc w:val="left"/>
        <w:rPr>
          <w:rFonts w:hint="eastAsia" w:ascii="宋体" w:hAnsi="宋体" w:eastAsia="宋体" w:cs="宋体"/>
          <w:b/>
          <w:bCs/>
          <w:color w:val="auto"/>
          <w:sz w:val="22"/>
        </w:rPr>
      </w:pPr>
      <w:r>
        <w:rPr>
          <w:rFonts w:hint="eastAsia" w:ascii="宋体" w:hAnsi="宋体" w:eastAsia="宋体" w:cs="宋体"/>
          <w:color w:val="auto"/>
          <w:sz w:val="22"/>
        </w:rPr>
        <w:t>1</w:t>
      </w:r>
      <w:r>
        <w:rPr>
          <w:rFonts w:hint="eastAsia" w:ascii="宋体" w:hAnsi="宋体" w:cs="宋体"/>
          <w:color w:val="auto"/>
          <w:sz w:val="22"/>
          <w:lang w:val="en-US" w:eastAsia="zh-CN"/>
        </w:rPr>
        <w:t>6</w:t>
      </w:r>
      <w:r>
        <w:rPr>
          <w:rFonts w:hint="eastAsia" w:ascii="宋体" w:hAnsi="宋体" w:eastAsia="宋体" w:cs="宋体"/>
          <w:color w:val="auto"/>
          <w:sz w:val="22"/>
        </w:rPr>
        <w:t>.4</w:t>
      </w:r>
      <w:r>
        <w:rPr>
          <w:rFonts w:hint="eastAsia" w:ascii="宋体" w:hAnsi="宋体" w:eastAsia="宋体" w:cs="宋体"/>
          <w:color w:val="auto"/>
          <w:kern w:val="0"/>
          <w:sz w:val="22"/>
        </w:rPr>
        <w:t xml:space="preserve"> 除技术规范中另有规定外,计量单位均使用中华人民共和国法定计量单位。</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w:t>
      </w:r>
      <w:r>
        <w:rPr>
          <w:rFonts w:hint="eastAsia" w:ascii="宋体" w:hAnsi="宋体" w:cs="宋体"/>
          <w:b/>
          <w:color w:val="auto"/>
          <w:kern w:val="0"/>
          <w:sz w:val="22"/>
          <w:lang w:val="en-US" w:eastAsia="zh-CN"/>
        </w:rPr>
        <w:t>7</w:t>
      </w:r>
      <w:r>
        <w:rPr>
          <w:rFonts w:hint="eastAsia" w:ascii="宋体" w:hAnsi="宋体" w:eastAsia="宋体" w:cs="宋体"/>
          <w:b/>
          <w:color w:val="auto"/>
          <w:kern w:val="0"/>
          <w:sz w:val="22"/>
        </w:rPr>
        <w:t>.合同生效</w:t>
      </w:r>
    </w:p>
    <w:p>
      <w:pPr>
        <w:wordWrap w:val="0"/>
        <w:topLinePunct/>
        <w:spacing w:line="360" w:lineRule="auto"/>
        <w:ind w:firstLine="441"/>
        <w:jc w:val="left"/>
        <w:rPr>
          <w:rFonts w:hint="eastAsia" w:ascii="宋体" w:hAnsi="宋体" w:eastAsia="宋体" w:cs="宋体"/>
          <w:color w:val="FF0000"/>
          <w:kern w:val="0"/>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7</w:t>
      </w:r>
      <w:r>
        <w:rPr>
          <w:rFonts w:hint="eastAsia" w:ascii="宋体" w:hAnsi="宋体" w:eastAsia="宋体" w:cs="宋体"/>
          <w:color w:val="auto"/>
          <w:kern w:val="0"/>
          <w:sz w:val="22"/>
        </w:rPr>
        <w:t>.1本合同应在甲乙双方签字盖章后生效。</w:t>
      </w:r>
      <w:r>
        <w:rPr>
          <w:rFonts w:hint="eastAsia" w:ascii="宋体" w:hAnsi="宋体" w:eastAsia="宋体" w:cs="宋体"/>
          <w:color w:val="FF0000"/>
          <w:kern w:val="0"/>
          <w:sz w:val="22"/>
        </w:rPr>
        <w:br w:type="textWrapping"/>
      </w:r>
      <w:r>
        <w:rPr>
          <w:rFonts w:hint="eastAsia" w:ascii="宋体" w:hAnsi="宋体" w:eastAsia="宋体" w:cs="宋体"/>
          <w:color w:val="FF0000"/>
          <w:kern w:val="0"/>
          <w:sz w:val="22"/>
        </w:rPr>
        <w:br w:type="textWrapping"/>
      </w:r>
      <w:r>
        <w:rPr>
          <w:rFonts w:hint="eastAsia" w:ascii="宋体" w:hAnsi="宋体" w:eastAsia="宋体" w:cs="宋体"/>
          <w:color w:val="FF0000"/>
          <w:kern w:val="0"/>
          <w:sz w:val="22"/>
        </w:rPr>
        <w:br w:type="textWrapping"/>
      </w:r>
      <w:r>
        <w:rPr>
          <w:rFonts w:hint="eastAsia" w:ascii="宋体" w:hAnsi="宋体" w:eastAsia="宋体" w:cs="宋体"/>
          <w:color w:val="FF0000"/>
          <w:kern w:val="0"/>
          <w:sz w:val="22"/>
        </w:rPr>
        <w:br w:type="textWrapping"/>
      </w:r>
      <w:r>
        <w:rPr>
          <w:rFonts w:hint="eastAsia" w:ascii="宋体" w:hAnsi="宋体" w:eastAsia="宋体" w:cs="宋体"/>
          <w:color w:val="FF0000"/>
          <w:kern w:val="0"/>
          <w:sz w:val="22"/>
        </w:rPr>
        <w:br w:type="textWrapping"/>
      </w:r>
      <w:r>
        <w:rPr>
          <w:rFonts w:hint="eastAsia" w:ascii="宋体" w:hAnsi="宋体" w:eastAsia="宋体" w:cs="宋体"/>
          <w:color w:val="FF0000"/>
          <w:kern w:val="0"/>
          <w:sz w:val="22"/>
        </w:rPr>
        <w:br w:type="textWrapping"/>
      </w: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lMGYyOTVhYjdlYzM1NTdhMmI1Mjk4NGRmMWI0NzIifQ=="/>
  </w:docVars>
  <w:rsids>
    <w:rsidRoot w:val="00000000"/>
    <w:rsid w:val="080B3940"/>
    <w:rsid w:val="12AF17CC"/>
    <w:rsid w:val="1721436E"/>
    <w:rsid w:val="373D5AEF"/>
    <w:rsid w:val="42060B86"/>
    <w:rsid w:val="462062DA"/>
    <w:rsid w:val="496626FC"/>
    <w:rsid w:val="4F583454"/>
    <w:rsid w:val="547964CA"/>
    <w:rsid w:val="63992ED0"/>
    <w:rsid w:val="748C3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Arial Unicode MS" w:hAnsi="Arial Unicode MS" w:eastAsia="宋体" w:cs="Arial Unicode MS"/>
      <w:kern w:val="2"/>
      <w:sz w:val="18"/>
      <w:szCs w:val="24"/>
      <w:lang w:val="en-US" w:eastAsia="zh-CN" w:bidi="ar-SA"/>
    </w:rPr>
  </w:style>
  <w:style w:type="paragraph" w:styleId="3">
    <w:name w:val="heading 3"/>
    <w:basedOn w:val="1"/>
    <w:next w:val="1"/>
    <w:qFormat/>
    <w:uiPriority w:val="0"/>
    <w:pPr>
      <w:keepNext/>
      <w:outlineLvl w:val="2"/>
    </w:pPr>
    <w:rPr>
      <w:rFonts w:ascii="宋体" w:hAnsi="宋体"/>
      <w:b/>
      <w:bCs/>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eastAsia="Times New Roman"/>
    </w:rPr>
  </w:style>
  <w:style w:type="paragraph" w:styleId="4">
    <w:name w:val="Plain Text"/>
    <w:basedOn w:val="1"/>
    <w:qFormat/>
    <w:uiPriority w:val="0"/>
    <w:rPr>
      <w:rFonts w:ascii="Arial" w:hAnsi="仿宋" w:cs="Times New Roman"/>
      <w:kern w:val="0"/>
      <w:sz w:val="20"/>
      <w:szCs w:val="21"/>
    </w:rPr>
  </w:style>
  <w:style w:type="paragraph" w:styleId="5">
    <w:name w:val="Normal (Web)"/>
    <w:basedOn w:val="1"/>
    <w:qFormat/>
    <w:uiPriority w:val="0"/>
    <w:rPr>
      <w:sz w:val="24"/>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5332</Words>
  <Characters>5581</Characters>
  <Lines>0</Lines>
  <Paragraphs>0</Paragraphs>
  <TotalTime>0</TotalTime>
  <ScaleCrop>false</ScaleCrop>
  <LinksUpToDate>false</LinksUpToDate>
  <CharactersWithSpaces>5620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2023-10-31T10:23:00Z</dcterms:created>
  <dc:creator>Administrator</dc:creator>
  <cp:lastModifiedBy>Queen €</cp:lastModifiedBy>
  <dcterms:modified xsi:type="dcterms:W3CDTF">2025-09-21T06:29:29Z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C3D5B5DD2C9742C7A750EFB305D9450D_13</vt:lpwstr>
  </property>
</Properties>
</file>