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版本号：SXZX-2025-03920250921001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基于水文与水动力模型的北洛河流域水沙调控多目标研究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SXZX-2025-039</w:t>
      </w:r>
      <w:r>
        <w:br/>
      </w:r>
      <w:r>
        <w:br/>
      </w:r>
      <w:r>
        <w:br/>
      </w:r>
    </w:p>
    <w:p>
      <w:pPr>
        <w:pStyle w:val="null3"/>
        <w:jc w:val="center"/>
        <w:outlineLvl w:val="2"/>
      </w:pPr>
      <w:r>
        <w:rPr>
          <w:rFonts w:ascii="仿宋_GB2312" w:hAnsi="仿宋_GB2312" w:cs="仿宋_GB2312" w:eastAsia="仿宋_GB2312"/>
          <w:sz w:val="28"/>
          <w:b/>
        </w:rPr>
        <w:t>陕西省水利发展调查与引汉济渭工程协调中心</w:t>
      </w:r>
    </w:p>
    <w:p>
      <w:pPr>
        <w:pStyle w:val="null3"/>
        <w:jc w:val="center"/>
        <w:outlineLvl w:val="2"/>
      </w:pPr>
      <w:r>
        <w:rPr>
          <w:rFonts w:ascii="仿宋_GB2312" w:hAnsi="仿宋_GB2312" w:cs="仿宋_GB2312" w:eastAsia="仿宋_GB2312"/>
          <w:sz w:val="28"/>
          <w:b/>
        </w:rPr>
        <w:t>陕西湛信工程管理有限公司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陕西湛信工程管理有限公司</w:t>
      </w:r>
      <w:r>
        <w:rPr>
          <w:rFonts w:ascii="仿宋_GB2312" w:hAnsi="仿宋_GB2312" w:cs="仿宋_GB2312" w:eastAsia="仿宋_GB2312"/>
        </w:rPr>
        <w:t>（以下简称“代理机构”）受</w:t>
      </w:r>
      <w:r>
        <w:rPr>
          <w:rFonts w:ascii="仿宋_GB2312" w:hAnsi="仿宋_GB2312" w:cs="仿宋_GB2312" w:eastAsia="仿宋_GB2312"/>
        </w:rPr>
        <w:t>陕西省水利发展调查与引汉济渭工程协调中心</w:t>
      </w:r>
      <w:r>
        <w:rPr>
          <w:rFonts w:ascii="仿宋_GB2312" w:hAnsi="仿宋_GB2312" w:cs="仿宋_GB2312" w:eastAsia="仿宋_GB2312"/>
        </w:rPr>
        <w:t>委托，拟对</w:t>
      </w:r>
      <w:r>
        <w:rPr>
          <w:rFonts w:ascii="仿宋_GB2312" w:hAnsi="仿宋_GB2312" w:cs="仿宋_GB2312" w:eastAsia="仿宋_GB2312"/>
        </w:rPr>
        <w:t>基于水文与水动力模型的北洛河流域水沙调控多目标研究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SXZX-2025-039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基于水文与水动力模型的北洛河流域水沙调控多目标研究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构建水文与水动力模型，对北洛河流域的洪水和泥沙输移过程进行模拟分析,提出北洛河流域水沙调控、综合治理的多目标建议。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1、法人授权书（证明书）：法定代表人参加投标时，提供法定代表人证明书；授权代表参加投标时，提供法定代表人授权书；非法人单位参照执行。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陕西省水利发展调查与引汉济渭工程协调中心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西安市新城区西七路198号江河大厦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029-61835356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陕西湛信工程管理有限公司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西安市未央区湖北大厦2号楼1501室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15209206054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开户名称：陕西湛信工程管理有限公司</w:t>
            </w:r>
          </w:p>
          <w:p>
            <w:pPr>
              <w:pStyle w:val="null3"/>
            </w:pPr>
            <w:r>
              <w:rPr>
                <w:rFonts w:ascii="仿宋_GB2312" w:hAnsi="仿宋_GB2312" w:cs="仿宋_GB2312" w:eastAsia="仿宋_GB2312"/>
              </w:rPr>
              <w:t>开户银行：中信银行西安高新路支行</w:t>
            </w:r>
          </w:p>
          <w:p>
            <w:pPr>
              <w:pStyle w:val="null3"/>
            </w:pPr>
            <w:r>
              <w:rPr>
                <w:rFonts w:ascii="仿宋_GB2312" w:hAnsi="仿宋_GB2312" w:cs="仿宋_GB2312" w:eastAsia="仿宋_GB2312"/>
              </w:rPr>
              <w:t>银行账号：8111701013100609658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标准。 2、采购代理服务费账户： 公司名称：陕西湛信工程管理有限公司 账 号: 8111701013100609658 开 户 行：中信银行西安高新路支行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陕西省水利发展调查与引汉济渭工程协调中心</w:t>
      </w:r>
      <w:r>
        <w:rPr>
          <w:rFonts w:ascii="仿宋_GB2312" w:hAnsi="仿宋_GB2312" w:cs="仿宋_GB2312" w:eastAsia="仿宋_GB2312"/>
        </w:rPr>
        <w:t>和</w:t>
      </w:r>
      <w:r>
        <w:rPr>
          <w:rFonts w:ascii="仿宋_GB2312" w:hAnsi="仿宋_GB2312" w:cs="仿宋_GB2312" w:eastAsia="仿宋_GB2312"/>
        </w:rPr>
        <w:t>陕西湛信工程管理有限公司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陕西省水利发展调查与引汉济渭工程协调中心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陕西湛信工程管理有限公司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陕西省水利发展调查与引汉济渭工程协调中心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陕西湛信工程管理有限公司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符合磋商文件和乙方响应文件标准和要求以及国家相关技术标准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陕西湛信工程管理有限公司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陕西湛信工程管理有限公司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陕西湛信工程管理有限公司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联系人：康超</w:t>
      </w:r>
    </w:p>
    <w:p>
      <w:pPr>
        <w:pStyle w:val="null3"/>
      </w:pPr>
      <w:r>
        <w:rPr>
          <w:rFonts w:ascii="仿宋_GB2312" w:hAnsi="仿宋_GB2312" w:cs="仿宋_GB2312" w:eastAsia="仿宋_GB2312"/>
        </w:rPr>
        <w:t>联系电话：15209206054</w:t>
      </w:r>
    </w:p>
    <w:p>
      <w:pPr>
        <w:pStyle w:val="null3"/>
      </w:pPr>
      <w:r>
        <w:rPr>
          <w:rFonts w:ascii="仿宋_GB2312" w:hAnsi="仿宋_GB2312" w:cs="仿宋_GB2312" w:eastAsia="仿宋_GB2312"/>
        </w:rPr>
        <w:t>地址：西安市未央区湖北大厦2号楼1501室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构建水文与水动力模型，对北洛河流域的洪水和泥沙输移过程进行模拟分析,提出北洛河流域水沙调控、综合治理的多目标建议。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基于水文与水动力模型的北洛河流域水沙调控多目标研究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标的名称：基于水文与水动力模型的北洛河流域水沙调控多目标研究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构建水文与水动力模型，对北洛河流域的洪水和泥沙输移过程进行模拟分析</w:t>
            </w:r>
            <w:r>
              <w:rPr>
                <w:rFonts w:ascii="仿宋_GB2312" w:hAnsi="仿宋_GB2312" w:cs="仿宋_GB2312" w:eastAsia="仿宋_GB2312"/>
                <w:sz w:val="21"/>
              </w:rPr>
              <w:t>,提出北洛河流域水沙调控、综合治理的多目标建议。完成《基于水文与水动力模型的北洛河流域水沙调控多目标研究报告》、基于水文水动力模型的流域水沙多目标淤地坝布设规划软件一套等项目成果。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符合磋商文件和乙方响应文件标准和要求以及国家相关技术标准，并在成果文件完成后，由专家小组进行评审，经过专家小组评审后一致认为已达到要求视为合格。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完成全部研究工作及成果后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全部工作完成并通过验收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（1）成交单位未按合同要求提供服务或服务质量不能满足技术要求，且在规定时间内未使采购人满意的，采购人有权终止合同并对其违约行为进行追究。具体按《中华人民共和国民法典》中的相关条款执行。 （2）任何一方若违反本合同其他约定，致使本合同无法履行，违约方应向守约方赔偿实际损失。 （3）如因成交单位工作人员在履行职务过程中的疏忽、失职、过错等故意或者过失原因给甲方造成损失或侵害，包括但不限于对采购人造成财产损失、由此而导致的采购人对任何第三方的法律责任等，成交单位对此均应承担全部的赔偿责任并负责妥善处理。 （4）本合同约定的损失，包括但不限于直接或间接的经济损失、律师费、诉讼费、保全费、鉴定费等损失。 （5）本合同约定的违约情形独立存在，可叠加适用。成交单位按照合同约定应当向甲方支付的违约金，成交单位同意采购人从应付未付款中直接予以扣除。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（1）本项目结果公告发布后，成交单位应向代理机构提供纸质响应文件一套（一正二副），纸质投标文件应与系统上传响应文件内容保持一致。 （2）（一）质量标准 达到国家现行质量合格标准。 （二）项目实施要求 1、签订合同起至2025年12月底 2、须详细说明实施本项目拟采用的团队组织方法和具体项目组织机构，保证在此项目实施期间足够的人力投入和人员的质量。 3、应提供本项目实施计划及日程安排。</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资格证明文件部分格式.docx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响应文件递交截止时间前6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提供响应文件递交截止时间前12个月内至少一个月已缴纳的纳税凭据或完税证明，依法免税的供应商应提供相关证明文件。</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提供响应文件递交截止时间前12个月内已缴存的至少一个月的社会保障资金缴存单据或社保机构开具的社会保险参保缴费情况证明，依法不需要缴纳社会保障资金的单位应提供相关证明材料。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磋商响应文件的签字盖章符合采购文件要求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资格证明文件部分格式.docx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报价未超过预算和最高限价。</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服务内容及服务邀请应答表 商务应答表 资格证明文件部分格式.docx 服务方案 供应商应提交的相关资格证明材料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针对本项目的特点提供总体的项目实施方案（包括但不限于总体的服务设想、服务定位、服务目标、服务计划等），根据方案的科学性、合理性、针对性综合评审。 方案科学合理、切实可行，不缺项且有针对性解释说明得14分； 2.方案比较合理、有一定的可行性，不缺项且有针对性解释说明得12分； 3.方案比较合理、有一定的可行性，有针对性解释说明但缺项1项得10分； 4.方案基本合理、具有可操作性，存在不确定因素，有针对性解释说明但缺项1项得8分； 5.方案基本合理、可操作性不强，存在不确定因素，有针对性解释说明但缺项2项得6分； 6.方案不够合理、可操作性不强，解释说明缺项2项得4分； 7.方案不够合理、可操作性不强，存在缺项3项得2分； 8.方案存在漏项较多，可操作性差，得1分； 未提供或完全脱离项目实际的不得分。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1.重点和难点分析全面，合理，并且提出切实可行的解决办法的，得8分； 2.重点和难点分析全面，合理，对于重难点的解决办法较为合理可行的，得6分； 3.重点和难点分析全面，合理，对于重难点的解决办法可行性一般的，得4分； 4.重点和难点分析基本全面，基本合理，对于重难点的解决办法基本可行的，得2分； 5.重点和难点分析不全面，不合理，对于重难点的解决办法不可行的，得1分；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专业人员配备合理，拟投入本项目人员数量充足，专业人员配置齐全、针对性强、人员分工、岗位职责明确，能够满足采购人项目需求的，证明材料提供齐全、详细的得10分； 专业人员配备数量充足，专业人员配备能够基本满足项目实施需要，分工、岗位职责安排有一定的合理性，基本能满足项目需求的，证明材料提供齐全、详细的得8分； 专业人员配备数量基本充足、专业人员配备能够基本满足项目实施需要，分工、岗位职责安排基本合理的，证明材料提供不齐全的，得6分； 专业人员配备数量较充足、专业人员配备能够基本满足项目实施需要，分工、岗位职责安排不明确、不合理的，且证明材料提供不齐全的得4分； 专业人员配备数量较少，专业人员配备不齐全的，未提供相关证明材料的得2分； 相关人员配置在满足采购人要求的基础上严重不足的不得分。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拟派技术负责人，具有相关专业高级或以上职称的得2分，中级职称得1分；其他不得分。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对供应商针对本项目的进度安排措施进行评审。 具有科学合理明确的工作进度计划，工作进度计划与实际需求的契合度高，时间节点把控清晰明确，对工作推进指导性强，得8分； 具有科学合理工作进度计划，工作进度计划与实际需求的契合度相对较高，时间节点把控准确，对工作推进指导性强，得6分； 工作进度计划基本符合实际需求，相关时间节点的把控要求基本准确，对工作推进相对有指导性，得4分； 工作进度计划不符合实际需求，无法保证工作能够正常推进，得2分； 工作进度计划措施与项目实际需求不符，内容粗略得1分；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措施全面、具体、可行、科学合理，得8分； 措施比较全面、具体、可行、科学合理，得6分； 措施简单，有一定的合理性得4分； 措施存在较多缺漏，合理性较差，得2分； 措施存在严重缺漏，不具备合理性，得1分；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规范和技术标准措施</w:t>
            </w:r>
          </w:p>
        </w:tc>
        <w:tc>
          <w:tcPr>
            <w:tcW w:type="dxa" w:w="2492"/>
          </w:tcPr>
          <w:p>
            <w:pPr>
              <w:pStyle w:val="null3"/>
            </w:pPr>
            <w:r>
              <w:rPr>
                <w:rFonts w:ascii="仿宋_GB2312" w:hAnsi="仿宋_GB2312" w:cs="仿宋_GB2312" w:eastAsia="仿宋_GB2312"/>
              </w:rPr>
              <w:t>根据对服务符合相关规范和技术标准的措施。 措施方案全面具体、规范和技术标准高、数据可靠、能有效保障项目实施的得8分； 措施方案较全面较具体、规范和技术标准较高、数据可靠、较能有效保障项目实施的得6分； 措施方案基本全面、规范和技术标准高、数据较为可靠、对项目实施有利性一般得4分； 措施方案不全面、规范和技术标准低、数据基本可靠、基本有利于对项目实施的的得2分； 措施方案不全面、规范和技术标准低、数据不可靠的，不利于对项目实施的的得1分；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根据本项目采购需求并结合项目实际，制定对于数据、图纸、报告等内容的管理方案， 方案得当、合理、规范，可行性强得8分； 方案较合理，具有可行性得6分； 方案基本合理，可行性一般得4分； 方案简单，基本可行得2分； 方案缺漏，不利于项目实施得1分；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承诺全面且从多个角度明确地做出承诺，合理可行且完全能满足采购人对项目需求的，得6分； 承诺基本全面且承诺内容基本可行的，得4分； 承诺基本全面但实施有难度的，得2分； 承诺不全面且实施难度大的，得1分；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建议全面且从多个角度考虑，合理可行且对项目实施具有较强的指导作用的得6分； 建议基本全面且建议内容基本可行的，得4分； 建议基本全面但实施有难度的，得2分； 建议不全面且实施难度大的，得1分；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1、供应商提供2022年1月1日至响应文件递交截止时间内的类似业绩，每提供一项单个合同项目得3分，累计最多得12分。 注 ：以响应文件中所附的加盖公章的业绩合同复印件为准，时间以合同签订时间为准；未提供业绩证明资料、业绩证明资料未显示时间、业绩证明资料显示时间不符合要求者不得分。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满足磋商文件要求且报价最低的供应商的价格为评标基准价，其价格分为满分。其他供应商的价格分统一按照下列公式计算：投标报价得分=（评标基准价/投标报价） ×分值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详见附件：资格证明文件部分格式.docx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