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版本号：RTZB-2025-2079(R)20250922001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桌面式实验室声共振仪及多结构高分辨率EHD固化一体装备采购项目(二次)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RTZB-2025-2079(R)</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桌面式实验室声共振仪及多结构高分辨率EHD固化一体装备采购项目(二次)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RTZB-2025-2079(R)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桌面式实验室声共振仪及多结构高分辨率EHD固化一体装备采购项目(二次)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西北大学拟采购桌面式实验室声共振仪1套，采购预算590000元。详见第三章采购需求。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采购包1（桌面式实验室声共振仪）：属于专门面向中小企业采购。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3、供应商代表授权：提供法定代表人证明书和代表人授权委托书。</w:t>
      </w:r>
    </w:p>
    <w:p>
      <w:pPr>
        <w:pStyle w:val="null3"/>
      </w:pPr>
      <w:r>
        <w:rPr>
          <w:rFonts w:ascii="仿宋_GB2312" w:hAnsi="仿宋_GB2312" w:cs="仿宋_GB2312" w:eastAsia="仿宋_GB2312"/>
        </w:rPr>
        <w:t>4、财务状况证明：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5、纳税证明：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6、社会保障资金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7、履约能力证明：提供具有履行本合同所必需的专业技术能力的声明。</w:t>
      </w:r>
    </w:p>
    <w:p>
      <w:pPr>
        <w:pStyle w:val="null3"/>
      </w:pPr>
      <w:r>
        <w:rPr>
          <w:rFonts w:ascii="仿宋_GB2312" w:hAnsi="仿宋_GB2312" w:cs="仿宋_GB2312" w:eastAsia="仿宋_GB2312"/>
        </w:rPr>
        <w:t>8、联合体投标：不接受联合体，提供非联合体声明。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陕西瑞通工程造价咨询有限公司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西北大学拟采购桌面式实验室声共振仪1套，采购预算590000元。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桌面式实验室声共振仪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标的名称：桌面式实验室声共振仪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8"/>
              <w:gridCol w:w="537"/>
              <w:gridCol w:w="1177"/>
              <w:gridCol w:w="252"/>
              <w:gridCol w:w="257"/>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货物名称</w:t>
                  </w:r>
                </w:p>
              </w:tc>
              <w:tc>
                <w:tcPr>
                  <w:tcW w:type="dxa" w:w="1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桌面式实验室声共振仪</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适合物料：粉体、液体、浆料、胶、气体</w:t>
                  </w:r>
                  <w:r>
                    <w:br/>
                  </w:r>
                  <w:r>
                    <w:rPr>
                      <w:rFonts w:ascii="仿宋_GB2312" w:hAnsi="仿宋_GB2312" w:cs="仿宋_GB2312" w:eastAsia="仿宋_GB2312"/>
                      <w:sz w:val="20"/>
                    </w:rPr>
                    <w:t>2.运动原理：共振声学体流+微流整场驱动</w:t>
                  </w:r>
                  <w:r>
                    <w:br/>
                  </w:r>
                  <w:r>
                    <w:rPr>
                      <w:rFonts w:ascii="仿宋_GB2312" w:hAnsi="仿宋_GB2312" w:cs="仿宋_GB2312" w:eastAsia="仿宋_GB2312"/>
                      <w:sz w:val="20"/>
                    </w:rPr>
                    <w:t>3.搅拌类型：无桨、无接触式搅拌</w:t>
                  </w:r>
                  <w:r>
                    <w:br/>
                  </w:r>
                  <w:r>
                    <w:rPr>
                      <w:rFonts w:ascii="仿宋_GB2312" w:hAnsi="仿宋_GB2312" w:cs="仿宋_GB2312" w:eastAsia="仿宋_GB2312"/>
                      <w:sz w:val="20"/>
                    </w:rPr>
                    <w:t>4.</w:t>
                  </w:r>
                  <w:r>
                    <w:rPr>
                      <w:rFonts w:ascii="仿宋_GB2312" w:hAnsi="仿宋_GB2312" w:cs="仿宋_GB2312" w:eastAsia="仿宋_GB2312"/>
                      <w:sz w:val="20"/>
                    </w:rPr>
                    <w:t>设备负载能力：2Kg/2L，满负载可在加速度80g（1g=9.8m/s2，下同）条件下连续工作8小时</w:t>
                  </w:r>
                </w:p>
                <w:p>
                  <w:pPr>
                    <w:pStyle w:val="null3"/>
                    <w:jc w:val="both"/>
                  </w:pPr>
                  <w:r>
                    <w:rPr>
                      <w:rFonts w:ascii="仿宋_GB2312" w:hAnsi="仿宋_GB2312" w:cs="仿宋_GB2312" w:eastAsia="仿宋_GB2312"/>
                      <w:sz w:val="20"/>
                    </w:rPr>
                    <w:t>5.工作加速度：1~100g可调</w:t>
                  </w:r>
                  <w:r>
                    <w:br/>
                  </w:r>
                  <w:r>
                    <w:rPr>
                      <w:rFonts w:ascii="仿宋_GB2312" w:hAnsi="仿宋_GB2312" w:cs="仿宋_GB2312" w:eastAsia="仿宋_GB2312"/>
                      <w:sz w:val="20"/>
                    </w:rPr>
                    <w:t>6.自动控制功能：共振频率动态自适应</w:t>
                  </w:r>
                  <w:r>
                    <w:br/>
                  </w:r>
                  <w:r>
                    <w:rPr>
                      <w:rFonts w:ascii="仿宋_GB2312" w:hAnsi="仿宋_GB2312" w:cs="仿宋_GB2312" w:eastAsia="仿宋_GB2312"/>
                      <w:sz w:val="20"/>
                    </w:rPr>
                    <w:t>7.容器夹持机构：手动，容器向下兼容</w:t>
                  </w:r>
                  <w:r>
                    <w:br/>
                  </w:r>
                  <w:r>
                    <w:rPr>
                      <w:rFonts w:ascii="仿宋_GB2312" w:hAnsi="仿宋_GB2312" w:cs="仿宋_GB2312" w:eastAsia="仿宋_GB2312"/>
                      <w:sz w:val="20"/>
                    </w:rPr>
                    <w:t>8.反应器：夹套式不锈钢容器，其他小型容器</w:t>
                  </w:r>
                  <w:r>
                    <w:br/>
                  </w:r>
                  <w:r>
                    <w:rPr>
                      <w:rFonts w:ascii="仿宋_GB2312" w:hAnsi="仿宋_GB2312" w:cs="仿宋_GB2312" w:eastAsia="仿宋_GB2312"/>
                      <w:sz w:val="20"/>
                    </w:rPr>
                    <w:t>9.人机界面：≥7寸触摸屏，操作权限分级管理</w:t>
                  </w:r>
                  <w:r>
                    <w:br/>
                  </w:r>
                  <w:r>
                    <w:rPr>
                      <w:rFonts w:ascii="仿宋_GB2312" w:hAnsi="仿宋_GB2312" w:cs="仿宋_GB2312" w:eastAsia="仿宋_GB2312"/>
                      <w:sz w:val="20"/>
                    </w:rPr>
                    <w:t>10.操作模式：手动、自动模式</w:t>
                  </w:r>
                  <w:r>
                    <w:br/>
                  </w:r>
                  <w:r>
                    <w:rPr>
                      <w:rFonts w:ascii="仿宋_GB2312" w:hAnsi="仿宋_GB2312" w:cs="仿宋_GB2312" w:eastAsia="仿宋_GB2312"/>
                      <w:sz w:val="20"/>
                    </w:rPr>
                    <w:t>11.控制系统：高速信号采集控制FPGA</w:t>
                  </w:r>
                </w:p>
                <w:p>
                  <w:pPr>
                    <w:pStyle w:val="null3"/>
                    <w:jc w:val="both"/>
                  </w:pPr>
                  <w:r>
                    <w:rPr>
                      <w:rFonts w:ascii="仿宋_GB2312" w:hAnsi="仿宋_GB2312" w:cs="仿宋_GB2312" w:eastAsia="仿宋_GB2312"/>
                      <w:sz w:val="20"/>
                    </w:rPr>
                    <w:t>12.配方程序存储数量：≥80组。</w:t>
                  </w:r>
                  <w:r>
                    <w:rPr>
                      <w:rFonts w:ascii="仿宋_GB2312" w:hAnsi="仿宋_GB2312" w:cs="仿宋_GB2312" w:eastAsia="仿宋_GB2312"/>
                      <w:sz w:val="20"/>
                      <w:b/>
                    </w:rPr>
                    <w:t>（提供相关证明材料，实际数量的控制屏幕截图或第三方检测报告等）</w:t>
                  </w:r>
                </w:p>
                <w:p>
                  <w:pPr>
                    <w:pStyle w:val="null3"/>
                    <w:jc w:val="both"/>
                  </w:pPr>
                  <w:r>
                    <w:rPr>
                      <w:rFonts w:ascii="仿宋_GB2312" w:hAnsi="仿宋_GB2312" w:cs="仿宋_GB2312" w:eastAsia="仿宋_GB2312"/>
                      <w:sz w:val="20"/>
                    </w:rPr>
                    <w:t>13.配方程序段数：≥15段。</w:t>
                  </w:r>
                  <w:r>
                    <w:rPr>
                      <w:rFonts w:ascii="仿宋_GB2312" w:hAnsi="仿宋_GB2312" w:cs="仿宋_GB2312" w:eastAsia="仿宋_GB2312"/>
                      <w:sz w:val="20"/>
                      <w:b/>
                    </w:rPr>
                    <w:t>（提供相关证明材料，实际数量控制屏幕截图或第三方检测报告等）</w:t>
                  </w:r>
                </w:p>
                <w:p>
                  <w:pPr>
                    <w:pStyle w:val="null3"/>
                    <w:jc w:val="both"/>
                  </w:pPr>
                  <w:r>
                    <w:rPr>
                      <w:rFonts w:ascii="仿宋_GB2312" w:hAnsi="仿宋_GB2312" w:cs="仿宋_GB2312" w:eastAsia="仿宋_GB2312"/>
                      <w:sz w:val="20"/>
                    </w:rPr>
                    <w:t>14.实验数据支持存储空间：≥16G</w:t>
                  </w:r>
                  <w:r>
                    <w:br/>
                  </w:r>
                  <w:r>
                    <w:rPr>
                      <w:rFonts w:ascii="仿宋_GB2312" w:hAnsi="仿宋_GB2312" w:cs="仿宋_GB2312" w:eastAsia="仿宋_GB2312"/>
                      <w:sz w:val="20"/>
                    </w:rPr>
                    <w:t>15.拓展功能：可选配高通量样品盘，支持多样品平行处理；设备预留接口，可外置水循环、真空系统、气体置换、温度传感器等</w:t>
                  </w:r>
                  <w:r>
                    <w:br/>
                  </w:r>
                  <w:r>
                    <w:rPr>
                      <w:rFonts w:ascii="仿宋_GB2312" w:hAnsi="仿宋_GB2312" w:cs="仿宋_GB2312" w:eastAsia="仿宋_GB2312"/>
                      <w:sz w:val="20"/>
                    </w:rPr>
                    <w:t>16.运行环境：空载条件80g时，设备正前方1m处噪音不超过78db；可在实验室标准实验台桌面稳定运行</w:t>
                  </w:r>
                </w:p>
                <w:p>
                  <w:pPr>
                    <w:pStyle w:val="null3"/>
                    <w:jc w:val="both"/>
                  </w:pPr>
                  <w:r>
                    <w:rPr>
                      <w:rFonts w:ascii="仿宋_GB2312" w:hAnsi="仿宋_GB2312" w:cs="仿宋_GB2312" w:eastAsia="仿宋_GB2312"/>
                      <w:sz w:val="20"/>
                    </w:rPr>
                    <w:t>17.安全机能：电机过热保护、加速度异常保护</w:t>
                  </w:r>
                </w:p>
                <w:p>
                  <w:pPr>
                    <w:pStyle w:val="null3"/>
                    <w:jc w:val="both"/>
                  </w:pPr>
                  <w:r>
                    <w:rPr>
                      <w:rFonts w:ascii="仿宋_GB2312" w:hAnsi="仿宋_GB2312" w:cs="仿宋_GB2312" w:eastAsia="仿宋_GB2312"/>
                      <w:sz w:val="20"/>
                    </w:rPr>
                    <w:t>18.保护功能：设备在工作仓门关闭时才能启动运行</w:t>
                  </w:r>
                  <w:r>
                    <w:br/>
                  </w:r>
                  <w:r>
                    <w:rPr>
                      <w:rFonts w:ascii="仿宋_GB2312" w:hAnsi="仿宋_GB2312" w:cs="仿宋_GB2312" w:eastAsia="仿宋_GB2312"/>
                      <w:sz w:val="20"/>
                    </w:rPr>
                    <w:t>19.电源规格：AC220V，最大输出功率≥3kw</w:t>
                  </w:r>
                </w:p>
                <w:p>
                  <w:pPr>
                    <w:pStyle w:val="null3"/>
                    <w:jc w:val="both"/>
                  </w:pPr>
                  <w:r>
                    <w:rPr>
                      <w:rFonts w:ascii="仿宋_GB2312" w:hAnsi="仿宋_GB2312" w:cs="仿宋_GB2312" w:eastAsia="仿宋_GB2312"/>
                      <w:sz w:val="20"/>
                    </w:rPr>
                    <w:t>20.所投产品对应型号设备的真实图片（非渲染）需要在公开资料中能够查寻到。</w:t>
                  </w:r>
                  <w:r>
                    <w:rPr>
                      <w:rFonts w:ascii="仿宋_GB2312" w:hAnsi="仿宋_GB2312" w:cs="仿宋_GB2312" w:eastAsia="仿宋_GB2312"/>
                      <w:sz w:val="20"/>
                      <w:b/>
                    </w:rPr>
                    <w:t>（提供相关证明材料，厂家官网或厂家彩页）</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bl>
          <w:p>
            <w:pPr>
              <w:pStyle w:val="null3"/>
              <w:jc w:val="both"/>
            </w:pPr>
            <w:r>
              <w:rPr>
                <w:rFonts w:ascii="仿宋_GB2312" w:hAnsi="仿宋_GB2312" w:cs="仿宋_GB2312" w:eastAsia="仿宋_GB2312"/>
                <w:sz w:val="22"/>
                <w:b/>
              </w:rPr>
              <w:t>以上所有要求不允许负偏离，有一项负偏离为无效响应。采购需求中要求提供证明材料的需提供证明材料，未提供证明材料按无效响应处理，其他以《投标产品技术指标偏离表》响应为准。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自合同签订之日起30天内到货，到货后7天内安装调试并交付使用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西北大学化学与材料科学学院副楼534</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1.质保期：自学校验收合格之日起1年，软件终身升级。 2.售后服务标准要求： （1）保修期内，因货物质量问题导致的各种故障的技术服务及维修所产生的一切费用由卖方负责承担； （2）卖方应向买方提供两位人员提供至少2天的培训时间，培训内容包括仪器的基本原理、操作及一般仪器维护保养知识； （3）卖方售后服务部门需提供每年不低于三次（含本数）的电话或网络回访和一次现场设备检修服务，并定期按照采购方要求派遣工程师做技术交流指导，对软件提供终生技术支持服务。 （4）培训方案： 卖方将提供送货上门、安装调试至正常使用状态。对采购人相关操作人员进行实地培训、实习，培训人数将不少于两名，时间不少于两天。 培训主要内容摘要： ①设备介绍、功能介绍 ②设备软件操作：参数配置、容器安装、管路安装、基础工艺参数设置等； ③客户人员设备操作现场指导、答疑 3.售后服务效率要求：即时响应（包括电话响应）；电话响应无法解决时，48小时内到达现场。修复时间96小时内；如96小时内无法修复，应提供相应解决方案。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线提交所有通过电子化交易平台实施的政府采购项目的响应文件，另外，在谈判截止时间前向代理机构递交密封、系统生成的纸质版响应文件壹份（胶装，封袋标注供应商名称及项目名称）。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合同生效后，乙方开具合同金额等额银行保函，甲方收到银行保函正本后预付合同货款，待货物到达指定地点，安装调试验收合格后，甲方退还银行保函正本。付款方式第三章支付约定不一致，以此处为准。 4.本项目采用两次报价，响应文件中的报价为首次报价，评审以第二次（最终报价）为准。5.中小企业：①是否属于中小企业，供应商按《统计上大中小微型企业划分办法（2017）》（国统字﹝2017﹞213号）工业划型标准判定，并承担责任。如判定原则与第四章及附件格式不一致的，以此为准。 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自合同签订之日起30天内到货，到货后7天内安装调试并交付使用</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西北大学化学与材料科学学院副楼534</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1.质保期：自学校验收合格之日起1年，软件终身升级。 2.售后服务标准要求： （1）保修期内，因货物质量问题导致的各种故障的技术服务及维修所产生的一切费用由卖方负责承担； （2）卖方应向买方提供两位人员提供至少2天的培训时间，培训内容包括仪器的基本原理、操作及一般仪器维护保养知识； （3）卖方售后服务部门需提供每年不低于三次（含本数）的电话或网络回访和一次现场设备检修服务，并定期按照采购方要求派遣工程师做技术交流指导，对软件提供终生技术支持服务。 （4）培训方案： 卖方将提供送货上门、安装调试至正常使用状态。对采购人相关操作人员进行实地培训、实习，培训人数将不少于两名，时间不少于两天。 培训主要内容摘要： ①设备介绍、功能介绍 ②设备软件操作：参数配置、容器安装、管路安装、基础工艺参数设置等； ③客户人员设备操作现场指导、答疑 3.售后服务效率要求：即时响应（包括电话响应）；电话响应无法解决时，48小时内到达现场。修复时间96小时内；如96小时内无法修复，应提供相应解决方案。 4.支付方式：合同生效后，乙方开具合同金额等额银行保函，甲方收到银行保函正本后预付合同货款，待货物到达指定地点，安装调试验收合格后，甲方退还银行保函正本。</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投标产品品目、数量、技术参数符合谈判文件要求。 注：①采购需求中要求提供证明材料的需提供证明材料，其他以《投标产品技术指标偏离表》响应为准。</w:t>
            </w:r>
          </w:p>
        </w:tc>
        <w:tc>
          <w:tcPr>
            <w:tcW w:type="dxa" w:w="1661"/>
          </w:tcPr>
          <w:p>
            <w:pPr>
              <w:pStyle w:val="null3"/>
            </w:pPr>
            <w:r>
              <w:rPr>
                <w:rFonts w:ascii="仿宋_GB2312" w:hAnsi="仿宋_GB2312" w:cs="仿宋_GB2312" w:eastAsia="仿宋_GB2312"/>
              </w:rPr>
              <w:t>投标产品技术指标偏离表.docx 投标产品技术参数明细表.docx 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