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版本号：ZX2025-08-1220251023002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医务综合管理信息化平台采购项目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ZX2025-08-12</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医务综合管理信息化平台采购项目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ZX2025-08-12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医务综合管理信息化平台采购项目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医务综合管理信息化平台采购项目，旨在深化医务管理建设，围绕医师信息动态管理、医务人员技术管理、医疗质量督查、医政管理、医务人员培训考核、医务人员排班等6方面，建立医务综合管理信息化平台（一期）。具体采购需求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采购包1（医务综合管理信息化平台采购项目）：属于专门面向中小企业采购。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2、不接受联合体投标，不允许分包：本项目不接受联合体投标，不允许分包。供应商应提供《非联合体不分包投标声明》。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种老师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029-85251331-3458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张爽 曹婷 马演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采购包1保证金金额：10,812.00元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代理服务费收费标准：参照国家计委颁布的《招标代理服务收费管理暂行办法》（计价格〔2002〕1980号）规定的招标代理服务收费标准，下浮43%进行收取。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陕西省人民医院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按照磋商文件、响应文件及合同文本执行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联系人：曹婷、孙童欣</w:t>
      </w:r>
    </w:p>
    <w:p>
      <w:pPr>
        <w:pStyle w:val="null3"/>
      </w:pPr>
      <w:r>
        <w:rPr>
          <w:rFonts w:ascii="仿宋_GB2312" w:hAnsi="仿宋_GB2312" w:cs="仿宋_GB2312" w:eastAsia="仿宋_GB2312"/>
        </w:rPr>
        <w:t>联系电话：029-88110800转8033（1053910307@qq.com）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医务综合管理信息化平台采购项目，旨在深化医务管理建设，围绕医师信息动态管理、医务人员技术管理、医疗质量督查、医政管理、医务人员培训考核、医务人员排班等6方面，建立医务综合管理信息化平台（一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医务综合管理信息化平台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标的名称：医务综合管理信息化平台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一、项目概述</w:t>
            </w:r>
          </w:p>
          <w:p>
            <w:pPr>
              <w:pStyle w:val="null3"/>
            </w:pPr>
            <w:r>
              <w:rPr>
                <w:rFonts w:ascii="仿宋_GB2312" w:hAnsi="仿宋_GB2312" w:cs="仿宋_GB2312" w:eastAsia="仿宋_GB2312"/>
              </w:rPr>
              <w:t>（一）项目背景</w:t>
            </w:r>
          </w:p>
          <w:p>
            <w:pPr>
              <w:pStyle w:val="null3"/>
            </w:pPr>
            <w:r>
              <w:rPr>
                <w:rFonts w:ascii="仿宋_GB2312" w:hAnsi="仿宋_GB2312" w:cs="仿宋_GB2312" w:eastAsia="仿宋_GB2312"/>
              </w:rPr>
              <w:t>2023年5月，国家卫生健康委、国家中医药局联合发布了《全面提升医疗质量行动计划（2023-2025）》，紧扣公立医院高质量发展新形势、新任务，全面提升医疗质量安全水平，建设中国特色优质高效的医疗卫生服务体系，保障人民群众健康权益。</w:t>
            </w:r>
          </w:p>
          <w:p>
            <w:pPr>
              <w:pStyle w:val="null3"/>
            </w:pPr>
            <w:r>
              <w:rPr>
                <w:rFonts w:ascii="仿宋_GB2312" w:hAnsi="仿宋_GB2312" w:cs="仿宋_GB2312" w:eastAsia="仿宋_GB2312"/>
              </w:rPr>
              <w:t>在计划中提出，三年内要健全医疗质量管理组织体系、完善质量安全管理制度、优化质量安全工作机制、加强医务人员管理、规范医疗技术管理。标志着医务管理的重要性、紧迫性更上一层楼。数字医务管理系统相应而生，本项目拟参照国家、省、市相关政策条款要求，基于医院医务管理的精细化、常态化实际需求，建设数字医务管理系统。</w:t>
            </w:r>
          </w:p>
          <w:p>
            <w:pPr>
              <w:pStyle w:val="null3"/>
            </w:pPr>
            <w:r>
              <w:rPr>
                <w:rFonts w:ascii="仿宋_GB2312" w:hAnsi="仿宋_GB2312" w:cs="仿宋_GB2312" w:eastAsia="仿宋_GB2312"/>
              </w:rPr>
              <w:t>医务管理是一项涉及人员较广、标准较多、流程较为繁琐、信息较为冗杂的管理流程，随着医院规模的扩大，就诊患者数量不断增加，各类医疗信息和技术信息大量汇入，现有的处理方式已不能胜任现实的需要，目前医院急需构建一套完备的信息化医疗管理平台，使医院做到在获取、传递、利用医疗信息资源方面更加灵活、快捷，增强医务人员的信息处理能力，最大限度地减少执行过程中的随意性和主观性，提高执行的效益和效率，提升医疗质量管理效能，满足现代化、智慧化医院管理新需求。因此为提高医务管理信息化水平，根据陕西省人民医院相关工作实际，建议招采医务综合管理信息化平台。</w:t>
            </w:r>
          </w:p>
          <w:p>
            <w:pPr>
              <w:pStyle w:val="null3"/>
            </w:pPr>
            <w:r>
              <w:rPr>
                <w:rFonts w:ascii="仿宋_GB2312" w:hAnsi="仿宋_GB2312" w:cs="仿宋_GB2312" w:eastAsia="仿宋_GB2312"/>
              </w:rPr>
              <w:t>（二）建设目标</w:t>
            </w:r>
          </w:p>
          <w:p>
            <w:pPr>
              <w:pStyle w:val="null3"/>
            </w:pPr>
            <w:r>
              <w:rPr>
                <w:rFonts w:ascii="仿宋_GB2312" w:hAnsi="仿宋_GB2312" w:cs="仿宋_GB2312" w:eastAsia="仿宋_GB2312"/>
              </w:rPr>
              <w:t>深化医务管理建设，围绕医师信息动态管理、医务人员技术管理、医疗质量督查、医政管理、医务人员培训考核、医务人员排班等6方面，建立医务综合管理信息化平台（一期）。</w:t>
            </w:r>
          </w:p>
          <w:p>
            <w:pPr>
              <w:pStyle w:val="null3"/>
            </w:pPr>
            <w:r>
              <w:rPr>
                <w:rFonts w:ascii="仿宋_GB2312" w:hAnsi="仿宋_GB2312" w:cs="仿宋_GB2312" w:eastAsia="仿宋_GB2312"/>
              </w:rPr>
              <w:t>二、医务综合管理建设内容及需求</w:t>
            </w:r>
          </w:p>
          <w:p>
            <w:pPr>
              <w:pStyle w:val="null3"/>
            </w:pPr>
            <w:r>
              <w:rPr>
                <w:rFonts w:ascii="仿宋_GB2312" w:hAnsi="仿宋_GB2312" w:cs="仿宋_GB2312" w:eastAsia="仿宋_GB2312"/>
              </w:rPr>
              <w:t>（一）总体要求</w:t>
            </w:r>
          </w:p>
          <w:p>
            <w:pPr>
              <w:pStyle w:val="null3"/>
            </w:pPr>
            <w:r>
              <w:rPr>
                <w:rFonts w:ascii="仿宋_GB2312" w:hAnsi="仿宋_GB2312" w:cs="仿宋_GB2312" w:eastAsia="仿宋_GB2312"/>
              </w:rPr>
              <w:t xml:space="preserve">  实现多院区数据管理。</w:t>
            </w:r>
          </w:p>
          <w:p>
            <w:pPr>
              <w:pStyle w:val="null3"/>
            </w:pPr>
            <w:r>
              <w:rPr>
                <w:rFonts w:ascii="仿宋_GB2312" w:hAnsi="仿宋_GB2312" w:cs="仿宋_GB2312" w:eastAsia="仿宋_GB2312"/>
              </w:rPr>
              <w:t>1.建设医疗技术动态授权管理，尤其是医疗技术逐项授权、质量监测与预警提醒、周期性评估、动态调整，形成医疗技术全流程闭环管控。精准、逐项授权，过程自动关联相关技术项目申请人作为既往术者开展相关指标，实现精准授权。</w:t>
            </w:r>
          </w:p>
          <w:p>
            <w:pPr>
              <w:pStyle w:val="null3"/>
            </w:pPr>
            <w:r>
              <w:rPr>
                <w:rFonts w:ascii="仿宋_GB2312" w:hAnsi="仿宋_GB2312" w:cs="仿宋_GB2312" w:eastAsia="仿宋_GB2312"/>
              </w:rPr>
              <w:t>2.将人员技术授权结果与医疗技术准入相结合，将医务人员档案与业务系统实时同步开展授权准入管理，保证医务人员的临床行为适应授权范围，规范医务人员行为。</w:t>
            </w:r>
          </w:p>
          <w:p>
            <w:pPr>
              <w:pStyle w:val="null3"/>
            </w:pPr>
            <w:r>
              <w:rPr>
                <w:rFonts w:ascii="仿宋_GB2312" w:hAnsi="仿宋_GB2312" w:cs="仿宋_GB2312" w:eastAsia="仿宋_GB2312"/>
              </w:rPr>
              <w:t>3.按照国家相关文件要求，利用信息化手段建立医疗技术质量与安全监测预警指标体系，供定期调整授权时参考、决策。</w:t>
            </w:r>
          </w:p>
          <w:p>
            <w:pPr>
              <w:pStyle w:val="null3"/>
            </w:pPr>
            <w:r>
              <w:rPr>
                <w:rFonts w:ascii="仿宋_GB2312" w:hAnsi="仿宋_GB2312" w:cs="仿宋_GB2312" w:eastAsia="仿宋_GB2312"/>
              </w:rPr>
              <w:t>4.按照国家相关文件要求，利用信息化手段接入业务系统数据由系统定期对手术/操作医务人员能力进行评估，管理部门及临床科室可根据评估结果对手术权限进行动态调整。</w:t>
            </w:r>
          </w:p>
          <w:p>
            <w:pPr>
              <w:pStyle w:val="null3"/>
            </w:pPr>
            <w:r>
              <w:rPr>
                <w:rFonts w:ascii="仿宋_GB2312" w:hAnsi="仿宋_GB2312" w:cs="仿宋_GB2312" w:eastAsia="仿宋_GB2312"/>
              </w:rPr>
              <w:t>5.建设医务人员技术档案，涵盖医务人员基本信息与所有技术指标开展情况、授权及评估过程与结果、医师定期考核结果，满足国家管控要求。</w:t>
            </w:r>
          </w:p>
          <w:p>
            <w:pPr>
              <w:pStyle w:val="null3"/>
            </w:pPr>
            <w:r>
              <w:rPr>
                <w:rFonts w:ascii="仿宋_GB2312" w:hAnsi="仿宋_GB2312" w:cs="仿宋_GB2312" w:eastAsia="仿宋_GB2312"/>
              </w:rPr>
              <w:t>6.对接医院数据，自动化生成限制类技术病例信息，涵盖科室开展限制类技术制定的关键信息，形成专科限制类技术病例信息库。</w:t>
            </w:r>
          </w:p>
          <w:p>
            <w:pPr>
              <w:pStyle w:val="null3"/>
            </w:pPr>
            <w:r>
              <w:rPr>
                <w:rFonts w:ascii="仿宋_GB2312" w:hAnsi="仿宋_GB2312" w:cs="仿宋_GB2312" w:eastAsia="仿宋_GB2312"/>
              </w:rPr>
              <w:t>7.利用信息化手段实现在线学习与考核管理全流程数字化闭环管理，可实时跟踪及收集学习及考核数据，确保人人完成考核学习，并提供数据分析手段，为后续决策提供科学依据，保障专业人才队伍质量。</w:t>
            </w:r>
          </w:p>
          <w:p>
            <w:pPr>
              <w:pStyle w:val="null3"/>
            </w:pPr>
            <w:r>
              <w:rPr>
                <w:rFonts w:ascii="仿宋_GB2312" w:hAnsi="仿宋_GB2312" w:cs="仿宋_GB2312" w:eastAsia="仿宋_GB2312"/>
              </w:rPr>
              <w:t>8.动态掌握全院各科室医务人员排班、医疗组、新入职轮转医生轮转、进修情况，每科按照医务人员值班要求上传符合资质人员。</w:t>
            </w:r>
          </w:p>
          <w:p>
            <w:pPr>
              <w:pStyle w:val="null3"/>
            </w:pPr>
            <w:r>
              <w:rPr>
                <w:rFonts w:ascii="仿宋_GB2312" w:hAnsi="仿宋_GB2312" w:cs="仿宋_GB2312" w:eastAsia="仿宋_GB2312"/>
              </w:rPr>
              <w:t>9.按照18项医疗质量安全核心制度管理要求，对医疗质量督查内容用PC端和移动端开展督查，对督查结果进行分析并实时反馈相关科室和部门。</w:t>
            </w:r>
          </w:p>
          <w:p>
            <w:pPr>
              <w:pStyle w:val="null3"/>
            </w:pPr>
            <w:r>
              <w:rPr>
                <w:rFonts w:ascii="仿宋_GB2312" w:hAnsi="仿宋_GB2312" w:cs="仿宋_GB2312" w:eastAsia="仿宋_GB2312"/>
              </w:rPr>
              <w:t>10.利用信息化手段提供政策法规管理功能，对需要向医疗人员宣导的政策、法规、制度、规范、预案、公告、公示文件等进行全员、按科室、按角色、按指定人员、指定方式进行推送，供其了解、学习。</w:t>
            </w:r>
          </w:p>
          <w:p>
            <w:pPr>
              <w:pStyle w:val="null3"/>
            </w:pPr>
            <w:r>
              <w:rPr>
                <w:rFonts w:ascii="仿宋_GB2312" w:hAnsi="仿宋_GB2312" w:cs="仿宋_GB2312" w:eastAsia="仿宋_GB2312"/>
              </w:rPr>
              <w:t>（二）系统工作台</w:t>
            </w:r>
          </w:p>
          <w:p>
            <w:pPr>
              <w:pStyle w:val="null3"/>
            </w:pPr>
            <w:r>
              <w:rPr>
                <w:rFonts w:ascii="仿宋_GB2312" w:hAnsi="仿宋_GB2312" w:cs="仿宋_GB2312" w:eastAsia="仿宋_GB2312"/>
              </w:rPr>
              <w:t>包括个人信息、公告查询、通知提醒、技术事中监测、并可实现根据人员角色展示不同首页内容，实现PC端和移动端均可显示。</w:t>
            </w:r>
          </w:p>
          <w:p>
            <w:pPr>
              <w:pStyle w:val="null3"/>
            </w:pPr>
            <w:r>
              <w:rPr>
                <w:rFonts w:ascii="仿宋_GB2312" w:hAnsi="仿宋_GB2312" w:cs="仿宋_GB2312" w:eastAsia="仿宋_GB2312"/>
              </w:rPr>
              <w:t>（演示项）11.个人档案</w:t>
            </w:r>
          </w:p>
          <w:p>
            <w:pPr>
              <w:pStyle w:val="null3"/>
            </w:pPr>
            <w:r>
              <w:rPr>
                <w:rFonts w:ascii="仿宋_GB2312" w:hAnsi="仿宋_GB2312" w:cs="仿宋_GB2312" w:eastAsia="仿宋_GB2312"/>
              </w:rPr>
              <w:t>包括但不限于个人基本信息、医务人员执业情况、医务人员培训记录、医疗技术授权信息、质量安全相关指标、科研教学情况、医疗保障任务记录、奖励情况、医师定期考核结果等；实现用户本人提交申请并经科室及医务部审批后信息动态更新；实现以院区、科室、人员姓名等快速检索；上述科室体系需实现切换选择，实现以用户所属科室及数据权限显示及隐藏；提供接口服务同步至其他相关系统。基于医师个人档案，对其临床、教学及科研等多维度能力进行量化评估与综合分析。支持统计分析功能，提供可视化图表类型。</w:t>
            </w:r>
          </w:p>
          <w:p>
            <w:pPr>
              <w:pStyle w:val="null3"/>
            </w:pPr>
            <w:r>
              <w:rPr>
                <w:rFonts w:ascii="仿宋_GB2312" w:hAnsi="仿宋_GB2312" w:cs="仿宋_GB2312" w:eastAsia="仿宋_GB2312"/>
              </w:rPr>
              <w:t>12.医务管理</w:t>
            </w:r>
          </w:p>
          <w:p>
            <w:pPr>
              <w:pStyle w:val="null3"/>
            </w:pPr>
            <w:r>
              <w:rPr>
                <w:rFonts w:ascii="仿宋_GB2312" w:hAnsi="仿宋_GB2312" w:cs="仿宋_GB2312" w:eastAsia="仿宋_GB2312"/>
              </w:rPr>
              <w:t>根据上级卫生行政部门最新发布的医疗质量安全相关文件，系统需对监测指标进行调整和更新，以确保符合最新政策要求。</w:t>
            </w:r>
          </w:p>
          <w:p>
            <w:pPr>
              <w:pStyle w:val="null3"/>
            </w:pPr>
            <w:r>
              <w:rPr>
                <w:rFonts w:ascii="仿宋_GB2312" w:hAnsi="仿宋_GB2312" w:cs="仿宋_GB2312" w:eastAsia="仿宋_GB2312"/>
              </w:rPr>
              <w:t>（1）目录管理</w:t>
            </w:r>
          </w:p>
          <w:p>
            <w:pPr>
              <w:pStyle w:val="null3"/>
            </w:pPr>
            <w:r>
              <w:rPr>
                <w:rFonts w:ascii="仿宋_GB2312" w:hAnsi="仿宋_GB2312" w:cs="仿宋_GB2312" w:eastAsia="仿宋_GB2312"/>
              </w:rPr>
              <w:t>▲①实现医院整体目录，可按多种方式检索（按人员、权限、状态）。内置国家卫健委《手术操作目录》《公立医院绩效监测四级手术目录》并动态更新，实现医院自定义扩展，发生变动需同步更新已授权人员及已授权科室目录，并有完整日志。</w:t>
            </w:r>
          </w:p>
          <w:p>
            <w:pPr>
              <w:pStyle w:val="null3"/>
            </w:pPr>
            <w:r>
              <w:rPr>
                <w:rFonts w:ascii="仿宋_GB2312" w:hAnsi="仿宋_GB2312" w:cs="仿宋_GB2312" w:eastAsia="仿宋_GB2312"/>
              </w:rPr>
              <w:t>▲②科室目录显示专科或病区目录（包括但不限于手术操作专业分类目录），有专门的病区目录申请增补或审减入口，可按医院流程申请增加或审减，专科目录发生变动，可连带修改个人目录信息，并有完整日志。</w:t>
            </w:r>
          </w:p>
          <w:p>
            <w:pPr>
              <w:pStyle w:val="null3"/>
            </w:pPr>
            <w:r>
              <w:rPr>
                <w:rFonts w:ascii="仿宋_GB2312" w:hAnsi="仿宋_GB2312" w:cs="仿宋_GB2312" w:eastAsia="仿宋_GB2312"/>
              </w:rPr>
              <w:t>★（2）资质申请及审批（供应商需提供“资质申请及审批”项下述涵盖功能需求的功能截图等相关证明材料进行佐证，未提供证明材料或证明材料无法佐证按无效文件处理）</w:t>
            </w:r>
          </w:p>
          <w:p>
            <w:pPr>
              <w:pStyle w:val="null3"/>
            </w:pPr>
            <w:r>
              <w:rPr>
                <w:rFonts w:ascii="仿宋_GB2312" w:hAnsi="仿宋_GB2312" w:cs="仿宋_GB2312" w:eastAsia="仿宋_GB2312"/>
              </w:rPr>
              <w:t>手术及操作资质申请采用分级分类管理，可按以下类别进行申报：限制类手术、介入诊疗、治疗性操作、诊断性操作、日间手术及新技术新项目等。</w:t>
            </w:r>
          </w:p>
          <w:p>
            <w:pPr>
              <w:pStyle w:val="null3"/>
            </w:pPr>
            <w:r>
              <w:rPr>
                <w:rFonts w:ascii="仿宋_GB2312" w:hAnsi="仿宋_GB2312" w:cs="仿宋_GB2312" w:eastAsia="仿宋_GB2312"/>
              </w:rPr>
              <w:t>①包括但不限于以下医疗技术及岗位权限的申请与审批：手术资格授权、介入资质授权、有创操作授权、会诊权限、处方资格授权、麻醉技术资格授权、病理技术资质授权、医学影像报告权限、放射岗位权限、检验技术权限、住院总医师权限、脑损伤（脑死亡）判定资格权限、器官移植资质、即时检验项目（POCT）权限、特殊技术/检查/治疗权限、限制类医疗技术权限、新技术新项目等，依据医院实际情况增补调整授权类别及申请。手术、有创操作等具备专科目录的需实现依据专科目录逐项申请；实现根据按院区、授权类别、科室、按人员查看；申请表单内显示前一授权周期手术质量与安全相关指标开展情况；实现按照医院审批流程进行适配化配置，包括上传签名图片。</w:t>
            </w:r>
          </w:p>
          <w:p>
            <w:pPr>
              <w:pStyle w:val="null3"/>
            </w:pPr>
            <w:r>
              <w:rPr>
                <w:rFonts w:ascii="仿宋_GB2312" w:hAnsi="仿宋_GB2312" w:cs="仿宋_GB2312" w:eastAsia="仿宋_GB2312"/>
              </w:rPr>
              <w:t>②通过统一入口在线审批（包括PC端和移动端）各类资质申请及医务人员个人档案申请信息；可根据按院区、授权类别、科室、按人员条件查询；实现审批驳回再申请流程，并实现管理端自定义审批角色，审批通过后实时推送至相关业务系统（HIS、电子病历等），并返回同步结果确认；</w:t>
            </w:r>
          </w:p>
          <w:p>
            <w:pPr>
              <w:pStyle w:val="null3"/>
            </w:pPr>
            <w:r>
              <w:rPr>
                <w:rFonts w:ascii="仿宋_GB2312" w:hAnsi="仿宋_GB2312" w:cs="仿宋_GB2312" w:eastAsia="仿宋_GB2312"/>
              </w:rPr>
              <w:t>待审核及各资质审批后变动消息按指定人员、指定方式进行推送（包含但不限于：PC端和移动端提醒）。</w:t>
            </w:r>
          </w:p>
          <w:p>
            <w:pPr>
              <w:pStyle w:val="null3"/>
            </w:pPr>
            <w:r>
              <w:rPr>
                <w:rFonts w:ascii="仿宋_GB2312" w:hAnsi="仿宋_GB2312" w:cs="仿宋_GB2312" w:eastAsia="仿宋_GB2312"/>
              </w:rPr>
              <w:t>③实现查看/新增/停用/启用医务人员已授权岗位，禁用已授权术式等。可批量关停或恢复已授权岗位，可按期限自动关停或恢复已授权岗位，并实时推送至相关业务系统（HIS、电子病历等），并返回同步结果确认。可查看授权完整变动日志，可导出分类及全部授权数据。</w:t>
            </w:r>
          </w:p>
          <w:p>
            <w:pPr>
              <w:pStyle w:val="null3"/>
            </w:pPr>
            <w:r>
              <w:rPr>
                <w:rFonts w:ascii="仿宋_GB2312" w:hAnsi="仿宋_GB2312" w:cs="仿宋_GB2312" w:eastAsia="仿宋_GB2312"/>
              </w:rPr>
              <w:t>▲（3）事中监管</w:t>
            </w:r>
          </w:p>
          <w:p>
            <w:pPr>
              <w:pStyle w:val="null3"/>
            </w:pPr>
            <w:r>
              <w:rPr>
                <w:rFonts w:ascii="仿宋_GB2312" w:hAnsi="仿宋_GB2312" w:cs="仿宋_GB2312" w:eastAsia="仿宋_GB2312"/>
              </w:rPr>
              <w:t>实时监测分析医务人员越级开展或目录外开展情况，实现明细查询及图表导出可展示手术的质量安全指标及病人转归结局。</w:t>
            </w:r>
          </w:p>
          <w:p>
            <w:pPr>
              <w:pStyle w:val="null3"/>
            </w:pPr>
            <w:r>
              <w:rPr>
                <w:rFonts w:ascii="仿宋_GB2312" w:hAnsi="仿宋_GB2312" w:cs="仿宋_GB2312" w:eastAsia="仿宋_GB2312"/>
              </w:rPr>
              <w:t>▲（4）考核评估再授权管理</w:t>
            </w:r>
          </w:p>
          <w:p>
            <w:pPr>
              <w:pStyle w:val="null3"/>
            </w:pPr>
            <w:r>
              <w:rPr>
                <w:rFonts w:ascii="仿宋_GB2312" w:hAnsi="仿宋_GB2312" w:cs="仿宋_GB2312" w:eastAsia="仿宋_GB2312"/>
              </w:rPr>
              <w:t>通过设定动态考核机制，实现对具备相关资质的人员开展情况进行按周期的动态考核。实现定期的技术权限复核与再授权。结果可自动纳入个人档案。可实现科室及医务部门分步审核，考核后根据评估结果，相关医务人员授权有效期可自动延期或终止。</w:t>
            </w:r>
          </w:p>
          <w:p>
            <w:pPr>
              <w:pStyle w:val="null3"/>
            </w:pPr>
            <w:r>
              <w:rPr>
                <w:rFonts w:ascii="仿宋_GB2312" w:hAnsi="仿宋_GB2312" w:cs="仿宋_GB2312" w:eastAsia="仿宋_GB2312"/>
              </w:rPr>
              <w:t>★（5）数据分析（供应商需提供“数据分析”项下述涵盖功能需求的功能截图等相关证明材料进行佐证，未提供证明材料或证明材料无法佐证按无效文件处理）</w:t>
            </w:r>
          </w:p>
          <w:p>
            <w:pPr>
              <w:pStyle w:val="null3"/>
            </w:pPr>
            <w:r>
              <w:rPr>
                <w:rFonts w:ascii="仿宋_GB2312" w:hAnsi="仿宋_GB2312" w:cs="仿宋_GB2312" w:eastAsia="仿宋_GB2312"/>
              </w:rPr>
              <w:t>自动提取临床数据（包括但不限于：手术麻醉系统术后登记、病案首页、HIS系统不良事件报告单、手术用血记录）并进行以个人、科室或全院为单位的分析展示，包括专科、医务人员工作量，工作质量分析，综合情况分析，专业能力数据分析，授权相关数据分析，科室服务能力，科室效能效率，科室疗效评估，医疗能力指标，可实现自定义方式分析。</w:t>
            </w:r>
          </w:p>
          <w:p>
            <w:pPr>
              <w:pStyle w:val="null3"/>
            </w:pPr>
            <w:r>
              <w:rPr>
                <w:rFonts w:ascii="仿宋_GB2312" w:hAnsi="仿宋_GB2312" w:cs="仿宋_GB2312" w:eastAsia="仿宋_GB2312"/>
              </w:rPr>
              <w:t>（6）预警分析</w:t>
            </w:r>
          </w:p>
          <w:p>
            <w:pPr>
              <w:pStyle w:val="null3"/>
            </w:pPr>
            <w:r>
              <w:rPr>
                <w:rFonts w:ascii="仿宋_GB2312" w:hAnsi="仿宋_GB2312" w:cs="仿宋_GB2312" w:eastAsia="仿宋_GB2312"/>
              </w:rPr>
              <w:t>▲①依据技术权限授予规则（如手术类：职称、手术量、培训考核证书）与技术相关质量指标动态监测数据，对医师技术授权定期进行授权动态评估。</w:t>
            </w:r>
          </w:p>
          <w:p>
            <w:pPr>
              <w:pStyle w:val="null3"/>
            </w:pPr>
            <w:r>
              <w:rPr>
                <w:rFonts w:ascii="仿宋_GB2312" w:hAnsi="仿宋_GB2312" w:cs="仿宋_GB2312" w:eastAsia="仿宋_GB2312"/>
              </w:rPr>
              <w:t>（演示项）②消息管理当医师的技术质量相关数据超过预设数值，提醒管理端采取教育培训、讨论是否降级或暂停该类手术等相关措施。并实现自定义周期自动生成《医师技术授权合规报告》，并按指定人员、指定方式进行推送。</w:t>
            </w:r>
          </w:p>
          <w:p>
            <w:pPr>
              <w:pStyle w:val="null3"/>
            </w:pPr>
            <w:r>
              <w:rPr>
                <w:rFonts w:ascii="仿宋_GB2312" w:hAnsi="仿宋_GB2312" w:cs="仿宋_GB2312" w:eastAsia="仿宋_GB2312"/>
              </w:rPr>
              <w:t>（7）限制类医疗技术病例填报</w:t>
            </w:r>
          </w:p>
          <w:p>
            <w:pPr>
              <w:pStyle w:val="null3"/>
            </w:pPr>
            <w:r>
              <w:rPr>
                <w:rFonts w:ascii="仿宋_GB2312" w:hAnsi="仿宋_GB2312" w:cs="仿宋_GB2312" w:eastAsia="仿宋_GB2312"/>
              </w:rPr>
              <w:t>▲①对接医院数据，自动化生成限制类技术病例信息，涵盖科室开展限制类技术制定的关键信息，形成专科限制类技术病例信息库。</w:t>
            </w:r>
          </w:p>
          <w:p>
            <w:pPr>
              <w:pStyle w:val="null3"/>
            </w:pPr>
            <w:r>
              <w:rPr>
                <w:rFonts w:ascii="仿宋_GB2312" w:hAnsi="仿宋_GB2312" w:cs="仿宋_GB2312" w:eastAsia="仿宋_GB2312"/>
              </w:rPr>
              <w:t>▲②依据病案首页自动筛查应填报病历实现信息自动填充，依据业务系统数据填充信息。依据国家法规及医院要求实现技术类别、科室类别、时间段类别多维度统计。</w:t>
            </w:r>
          </w:p>
          <w:p>
            <w:pPr>
              <w:pStyle w:val="null3"/>
            </w:pPr>
            <w:r>
              <w:rPr>
                <w:rFonts w:ascii="仿宋_GB2312" w:hAnsi="仿宋_GB2312" w:cs="仿宋_GB2312" w:eastAsia="仿宋_GB2312"/>
              </w:rPr>
              <w:t>13.医务人员培训考核</w:t>
            </w:r>
          </w:p>
          <w:p>
            <w:pPr>
              <w:pStyle w:val="null3"/>
            </w:pPr>
            <w:r>
              <w:rPr>
                <w:rFonts w:ascii="仿宋_GB2312" w:hAnsi="仿宋_GB2312" w:cs="仿宋_GB2312" w:eastAsia="仿宋_GB2312"/>
              </w:rPr>
              <w:t>提供在线学习考核系统，考核内容和题库可以自行维护。能够实现站内培训通知发布、课程上传、培训考核、考核结果查看，同时能够跟踪监测同一人的多次考核数据，统计下载考核数据（包括覆盖率、合格率等信息）。包括医师三基三严培训考核系统与考核题库软件。</w:t>
            </w:r>
          </w:p>
          <w:p>
            <w:pPr>
              <w:pStyle w:val="null3"/>
            </w:pPr>
            <w:r>
              <w:rPr>
                <w:rFonts w:ascii="仿宋_GB2312" w:hAnsi="仿宋_GB2312" w:cs="仿宋_GB2312" w:eastAsia="仿宋_GB2312"/>
              </w:rPr>
              <w:t>14.医务人员排班</w:t>
            </w:r>
          </w:p>
          <w:p>
            <w:pPr>
              <w:pStyle w:val="null3"/>
            </w:pPr>
            <w:r>
              <w:rPr>
                <w:rFonts w:ascii="仿宋_GB2312" w:hAnsi="仿宋_GB2312" w:cs="仿宋_GB2312" w:eastAsia="仿宋_GB2312"/>
              </w:rPr>
              <w:t>可实现临床科室、医技科室进行排班管理，实现按不同的科室类型自定义班次，按权限职能维护自己的科室排班数据，提供展示功能，查看全部的科室排班数据和汇总统计，实现排班日志记录查询（PC端和移动端等都支持查看）可动态显示各科室医疗组情况。新入职医师/进修医师轮转安排可推送至科室。</w:t>
            </w:r>
          </w:p>
          <w:p>
            <w:pPr>
              <w:pStyle w:val="null3"/>
            </w:pPr>
            <w:r>
              <w:rPr>
                <w:rFonts w:ascii="仿宋_GB2312" w:hAnsi="仿宋_GB2312" w:cs="仿宋_GB2312" w:eastAsia="仿宋_GB2312"/>
              </w:rPr>
              <w:t>15.医疗质量督查</w:t>
            </w:r>
          </w:p>
          <w:p>
            <w:pPr>
              <w:pStyle w:val="null3"/>
            </w:pPr>
            <w:r>
              <w:rPr>
                <w:rFonts w:ascii="仿宋_GB2312" w:hAnsi="仿宋_GB2312" w:cs="仿宋_GB2312" w:eastAsia="仿宋_GB2312"/>
              </w:rPr>
              <w:t>（演示项）①主要有督查类型管理、督查项目管理、督查模板库管理、督查计划制定与执行、督查统计与分析以及督查项目扣分维护等。支持管理端定期/临时督导任务的发布，自动关联责任科室与人员，提醒其完成督导任务。对结果可进行多维度分析，自动生成可视化图表（包括但不限于柱状图、甘特图、趋势图等），管理端可根据督导检查结果在线发起询问和整改单。</w:t>
            </w:r>
          </w:p>
          <w:p>
            <w:pPr>
              <w:pStyle w:val="null3"/>
            </w:pPr>
            <w:r>
              <w:rPr>
                <w:rFonts w:ascii="仿宋_GB2312" w:hAnsi="仿宋_GB2312" w:cs="仿宋_GB2312" w:eastAsia="仿宋_GB2312"/>
              </w:rPr>
              <w:t>（演示项）②为便于考核监督的工作执行，支持在PC端和移动端完成对已设定的考核监督表的新增及提交。</w:t>
            </w:r>
          </w:p>
          <w:p>
            <w:pPr>
              <w:pStyle w:val="null3"/>
            </w:pPr>
            <w:r>
              <w:rPr>
                <w:rFonts w:ascii="仿宋_GB2312" w:hAnsi="仿宋_GB2312" w:cs="仿宋_GB2312" w:eastAsia="仿宋_GB2312"/>
              </w:rPr>
              <w:t>▲16.医政管理</w:t>
            </w:r>
          </w:p>
          <w:p>
            <w:pPr>
              <w:pStyle w:val="null3"/>
            </w:pPr>
            <w:r>
              <w:rPr>
                <w:rFonts w:ascii="仿宋_GB2312" w:hAnsi="仿宋_GB2312" w:cs="仿宋_GB2312" w:eastAsia="仿宋_GB2312"/>
              </w:rPr>
              <w:t xml:space="preserve"> 提供政策法规维护功能，方便医务和管理部门及临床医技科室上传使用，支持按照分类（核心制度、等级评审等）、属性（三基三严、手术分级、医疗技术）等进行区分，并按指定人员、指定方式进行推送。支持表单自定义导出和打印功能。</w:t>
            </w:r>
          </w:p>
          <w:p>
            <w:pPr>
              <w:pStyle w:val="null3"/>
            </w:pPr>
            <w:r>
              <w:rPr>
                <w:rFonts w:ascii="仿宋_GB2312" w:hAnsi="仿宋_GB2312" w:cs="仿宋_GB2312" w:eastAsia="仿宋_GB2312"/>
              </w:rPr>
              <w:t>★三、接口要求（供应商需提供确保完成下述接口要求内容的承诺函，格式自拟，若未提供或承诺内容不完整按无效文件处理）</w:t>
            </w:r>
          </w:p>
          <w:p>
            <w:pPr>
              <w:pStyle w:val="null3"/>
            </w:pPr>
            <w:r>
              <w:rPr>
                <w:rFonts w:ascii="仿宋_GB2312" w:hAnsi="仿宋_GB2312" w:cs="仿宋_GB2312" w:eastAsia="仿宋_GB2312"/>
              </w:rPr>
              <w:t>17.与本项目有关的院内信息系统完成对接调试。</w:t>
            </w:r>
          </w:p>
          <w:p>
            <w:pPr>
              <w:pStyle w:val="null3"/>
            </w:pPr>
            <w:r>
              <w:rPr>
                <w:rFonts w:ascii="仿宋_GB2312" w:hAnsi="仿宋_GB2312" w:cs="仿宋_GB2312" w:eastAsia="仿宋_GB2312"/>
              </w:rPr>
              <w:t>院内现有信息系统主要有：HIS、EMR、LIS、PACS、VTE、护理、心电、手麻、病理、质控、院感、传染病、输血、血透、急诊、重症、药事、随访系统、HRP、集成平台、病案管理系统、医院评价监督系统等。</w:t>
            </w:r>
          </w:p>
          <w:p>
            <w:pPr>
              <w:pStyle w:val="null3"/>
            </w:pPr>
            <w:r>
              <w:rPr>
                <w:rFonts w:ascii="仿宋_GB2312" w:hAnsi="仿宋_GB2312" w:cs="仿宋_GB2312" w:eastAsia="仿宋_GB2312"/>
              </w:rPr>
              <w:t>18.项目实施时投标方需按甲方要求完成与目前在用国家、省、市开放的信息系统的对接与调试工作，无法对接的系统，投标方须提供相关数据的整合导出服务。项目质保期内根据国家、省、市及医院的业务发展需要，完成与相关开放系统的对接调试任务。对接费用包含在合同总费用中，特殊情况下另行协商。</w:t>
            </w:r>
          </w:p>
          <w:p>
            <w:pPr>
              <w:pStyle w:val="null3"/>
            </w:pPr>
            <w:r>
              <w:rPr>
                <w:rFonts w:ascii="仿宋_GB2312" w:hAnsi="仿宋_GB2312" w:cs="仿宋_GB2312" w:eastAsia="仿宋_GB2312"/>
              </w:rPr>
              <w:t>★四、需要完成和实现的统计表及消息推送功能（包含但不限于下述内容）（供应商需提供确保完成和实现的统计表及消息推送功能的承诺函，格式自拟，若未提供或承诺内容不完整按无效文件处理）</w:t>
            </w:r>
          </w:p>
          <w:p>
            <w:pPr>
              <w:pStyle w:val="null3"/>
            </w:pPr>
            <w:r>
              <w:rPr>
                <w:rFonts w:ascii="仿宋_GB2312" w:hAnsi="仿宋_GB2312" w:cs="仿宋_GB2312" w:eastAsia="仿宋_GB2312"/>
              </w:rPr>
              <w:t>19.包括但不限于以下指标：（1）各类手术相关质控指标：手术量、各级手术占比等；（2）术中质控指标：手术时长、术中出血量、术中用血量等；（3）术后监测质控指标：非计划二次手术、血栓发生率、继发感染、治愈率、死亡率等；（4）门诊指标监测；门诊诊疗人次、门诊会诊人次、门诊抗菌药物的使用率等（5）住院指标监测：住院床位、平均住院日、科室在院患者、出院人数，急危重症患者占比、外院转诊率等；（6）用药、检查监控：住院费用、药占比、处方平均费用、总费用科室排名、检查占比、平均费用、总费用科室等；（7）患者反馈指标：改善患者就医体验/满意度调查中的评价项等；（8）麻醉、病理、检验、影像、心电监测质控指标：工作量、ASA占比、影像诊断与临床符合率、急诊报告延迟率、相关专业质控指标等；（9）限制类医疗技术质控指标：依据国家限制类技术质控相关标准，对我院已备案的4项国家限制类医疗技术进行质控指标管理；省级限制类医疗技术则按照院内制定的质控指标进行统计分析，；（10）35项国家核心制度监测指标；（11）各类资质人员综合能力分析；（12）超长/花费住院病历。</w:t>
            </w:r>
          </w:p>
          <w:p>
            <w:pPr>
              <w:pStyle w:val="null3"/>
            </w:pPr>
            <w:r>
              <w:rPr>
                <w:rFonts w:ascii="仿宋_GB2312" w:hAnsi="仿宋_GB2312" w:cs="仿宋_GB2312" w:eastAsia="仿宋_GB2312"/>
              </w:rPr>
              <w:t>五、安全要求（供应商提供承诺函，格式自拟）</w:t>
            </w:r>
          </w:p>
          <w:p>
            <w:pPr>
              <w:pStyle w:val="null3"/>
            </w:pPr>
            <w:r>
              <w:rPr>
                <w:rFonts w:ascii="仿宋_GB2312" w:hAnsi="仿宋_GB2312" w:cs="仿宋_GB2312" w:eastAsia="仿宋_GB2312"/>
              </w:rPr>
              <w:t>▲20.系统适配要求</w:t>
            </w:r>
          </w:p>
          <w:p>
            <w:pPr>
              <w:pStyle w:val="null3"/>
            </w:pPr>
            <w:r>
              <w:rPr>
                <w:rFonts w:ascii="仿宋_GB2312" w:hAnsi="仿宋_GB2312" w:cs="仿宋_GB2312" w:eastAsia="仿宋_GB2312"/>
              </w:rPr>
              <w:t>PC客户端操作系统应积极采用国产操作系统，现有系统若暂时无法运行在国产操作系统下，系统须满足能正常运行在Windows 10神州网信政府版，64位环境下，并随系统和硬件的更新无条件向上兼容，且积极向国产操作系统适配。</w:t>
            </w:r>
          </w:p>
          <w:p>
            <w:pPr>
              <w:pStyle w:val="null3"/>
            </w:pPr>
            <w:r>
              <w:rPr>
                <w:rFonts w:ascii="仿宋_GB2312" w:hAnsi="仿宋_GB2312" w:cs="仿宋_GB2312" w:eastAsia="仿宋_GB2312"/>
              </w:rPr>
              <w:t>PC服务器端操作系统应积极采用国产服务器操作系统，若应用暂时无法运行在国产操作系统下，须满足最低能正常运行在Windows Server 2016，64位环境下，并随系统和硬件的更新无条件向上兼容，且积极向国产操作系统适配。</w:t>
            </w:r>
          </w:p>
          <w:p>
            <w:pPr>
              <w:pStyle w:val="null3"/>
            </w:pPr>
            <w:r>
              <w:rPr>
                <w:rFonts w:ascii="仿宋_GB2312" w:hAnsi="仿宋_GB2312" w:cs="仿宋_GB2312" w:eastAsia="仿宋_GB2312"/>
              </w:rPr>
              <w:t>数据库应积极采用国产数据库系统。操作系统、数据库均应支持国产芯片组架构指令集。</w:t>
            </w:r>
          </w:p>
          <w:p>
            <w:pPr>
              <w:pStyle w:val="null3"/>
            </w:pPr>
            <w:r>
              <w:rPr>
                <w:rFonts w:ascii="仿宋_GB2312" w:hAnsi="仿宋_GB2312" w:cs="仿宋_GB2312" w:eastAsia="仿宋_GB2312"/>
              </w:rPr>
              <w:t>▲21.等保要求及数据安全要求：</w:t>
            </w:r>
          </w:p>
          <w:p>
            <w:pPr>
              <w:pStyle w:val="null3"/>
            </w:pPr>
            <w:r>
              <w:rPr>
                <w:rFonts w:ascii="仿宋_GB2312" w:hAnsi="仿宋_GB2312" w:cs="仿宋_GB2312" w:eastAsia="仿宋_GB2312"/>
              </w:rPr>
              <w:t>21.1达到等保三级要求，并配合采购人通过等保测试及进行相应整改。</w:t>
            </w:r>
          </w:p>
          <w:p>
            <w:pPr>
              <w:pStyle w:val="null3"/>
            </w:pPr>
            <w:r>
              <w:rPr>
                <w:rFonts w:ascii="仿宋_GB2312" w:hAnsi="仿宋_GB2312" w:cs="仿宋_GB2312" w:eastAsia="仿宋_GB2312"/>
              </w:rPr>
              <w:t>数据安全要求</w:t>
            </w:r>
          </w:p>
          <w:p>
            <w:pPr>
              <w:pStyle w:val="null3"/>
            </w:pPr>
            <w:r>
              <w:rPr>
                <w:rFonts w:ascii="仿宋_GB2312" w:hAnsi="仿宋_GB2312" w:cs="仿宋_GB2312" w:eastAsia="仿宋_GB2312"/>
              </w:rPr>
              <w:t>21.2根据数据的敏感程度和重要性，对数据进行分类和分级管理，遵循国家标准《数据安全技术 数据分类分级规则》（GB/T 43697-2024）。</w:t>
            </w:r>
          </w:p>
          <w:p>
            <w:pPr>
              <w:pStyle w:val="null3"/>
            </w:pPr>
            <w:r>
              <w:rPr>
                <w:rFonts w:ascii="仿宋_GB2312" w:hAnsi="仿宋_GB2312" w:cs="仿宋_GB2312" w:eastAsia="仿宋_GB2312"/>
              </w:rPr>
              <w:t>21.3 通过设置用户权限级别，对用户进行限制，实现不同用户对数据的访问权限，防止内部攻击、破坏和泄露敏感数据。</w:t>
            </w:r>
          </w:p>
          <w:p>
            <w:pPr>
              <w:pStyle w:val="null3"/>
            </w:pPr>
            <w:r>
              <w:rPr>
                <w:rFonts w:ascii="仿宋_GB2312" w:hAnsi="仿宋_GB2312" w:cs="仿宋_GB2312" w:eastAsia="仿宋_GB2312"/>
              </w:rPr>
              <w:t>21.4 数据的备份与还原是内网安全的重要环节。需要实施定期数据备份，确保在系统崩溃和遭受攻击后，可以通过还原数据将系统恢复至原状。为防止不安全数据进入系统，在还原时需要仔细检查数据的来源。</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按照项目实施需求配置。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按照项目实施需求配置。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1.质保期：验收合格之日起，质保三年。 2.信息安全要求：满足国家信息安全法律法规及医院信息安全管理制度。</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合同签订后接采购人通知3个月内完成建设，试运行不少于3个月，试运行后经成交供应商申请组织验收。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1.验收形式：按照合同约定组织验收。 2.验收标准：完成项目建设内容，经专家验收通过。 3.验收方法：组织专家成立验收小组进行验收。 4.验收组织单位：陕西省人民医院。</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项目完成验收后，成交供应商提供付款相关材料</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根据合同文本执行。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2559647209@qq.com（邮件命名：项目编号）。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我公司将退回，供应商须在文件递交截止时间前按照指定账户再次提交。 3.4.2为顺利推进政府采购电子化交易平台应用工作，供应商需要在线提交所有通过电子化交易平台实施的政府采购项目的响应文件，同时，线下提交纸质响应文件贰份、电子版（含演示资料）一份并密封。若电子响应文件与纸质响应文件不一致的，以电子响应文件为准。线下递交文件时间：详见本项目采购公告提交响应文件截止时间；线下递交文件地点：西安市莲湖区环城西路南段元晟合中心6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8月1日以来至少一个月的纳税证明或完税证明，纳税证明或完税证明上应有代收机构或税务机关的公章或业务专用章；其他组织和自然人提供自2024年8月1日以来至少一个月缴纳税收的凭据；依法免税的或者依法不需缴税的供应商应提供相关文件证明； ③社会保障资金缴纳证明：提供自2024年8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2024年度审计报告（成立时间至提交响应文件截止时间不足一年的可提供成立后任意时段的资产负债表），或提交自2025年2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响应函 3资格证明文件.docx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3资格证明文件.docx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总报价未超过磋商文件中规定的最高限价的</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满足本磋商文件中3.3商务要求中服务期限、服务地点、支付约定、3.2.5质保期要求和 2.4.4知识产权要求、以及技术参数与性能指标中标注“★”的</w:t>
            </w:r>
          </w:p>
        </w:tc>
        <w:tc>
          <w:tcPr>
            <w:tcW w:type="dxa" w:w="1661"/>
          </w:tcPr>
          <w:p>
            <w:pPr>
              <w:pStyle w:val="null3"/>
            </w:pPr>
            <w:r>
              <w:rPr>
                <w:rFonts w:ascii="仿宋_GB2312" w:hAnsi="仿宋_GB2312" w:cs="仿宋_GB2312" w:eastAsia="仿宋_GB2312"/>
              </w:rPr>
              <w:t>5服务响应偏离表.docx 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4承诺书.docx 1分项价格表.docx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技术需求响应情况</w:t>
            </w:r>
          </w:p>
        </w:tc>
        <w:tc>
          <w:tcPr>
            <w:tcW w:type="dxa" w:w="2492"/>
          </w:tcPr>
          <w:p>
            <w:pPr>
              <w:pStyle w:val="null3"/>
            </w:pPr>
            <w:r>
              <w:rPr>
                <w:rFonts w:ascii="仿宋_GB2312" w:hAnsi="仿宋_GB2312" w:cs="仿宋_GB2312" w:eastAsia="仿宋_GB2312"/>
              </w:rPr>
              <w:t>根据供应商针对本项目的“医务综合管理建设内容及需求”及“五、安全要求”响应情况进行评审，完全满足计22分，“▲”项一项不满足扣2分，其余非“▲”项一项不满足扣0.5分。 注： 1.“医务综合管理建设内容及需求”▲项须提供功能截图等相关证明材料，“五、安全要求”项须提供承诺函（格式自拟），未提供或无有效证明材料均不得分。 2.演示项参数及“★”不参与本项评分。 3.标注“▲”的条款负偏离8项及以上时，按无效响应处理。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5服务响应偏离表.docx</w:t>
            </w:r>
          </w:p>
        </w:tc>
      </w:tr>
      <w:tr>
        <w:tc>
          <w:tcPr>
            <w:tcW w:type="dxa" w:w="831"/>
            <w:vMerge/>
          </w:tcPr>
          <w:p/>
        </w:tc>
        <w:tc>
          <w:tcPr>
            <w:tcW w:type="dxa" w:w="1661"/>
          </w:tcPr>
          <w:p>
            <w:pPr>
              <w:pStyle w:val="null3"/>
            </w:pPr>
            <w:r>
              <w:rPr>
                <w:rFonts w:ascii="仿宋_GB2312" w:hAnsi="仿宋_GB2312" w:cs="仿宋_GB2312" w:eastAsia="仿宋_GB2312"/>
              </w:rPr>
              <w:t>软件功能演示</w:t>
            </w:r>
          </w:p>
        </w:tc>
        <w:tc>
          <w:tcPr>
            <w:tcW w:type="dxa" w:w="2492"/>
          </w:tcPr>
          <w:p>
            <w:pPr>
              <w:pStyle w:val="null3"/>
            </w:pPr>
            <w:r>
              <w:rPr>
                <w:rFonts w:ascii="仿宋_GB2312" w:hAnsi="仿宋_GB2312" w:cs="仿宋_GB2312" w:eastAsia="仿宋_GB2312"/>
              </w:rPr>
              <w:t>供应商需针对第三章标注“（演示项）”的参数内容提供已上线医院的功能展示资料（以图片、视频、PPT、DEMO等形式均可），磋商小组将根据资料内容判断功能的符合程度，每项计3分，未提供或内容不符合磋商文件要求不得分。 备注：①提供的功能展示资料应真实反映系统在已上线医院的实际运行情况。 ②资料需清晰展示第三章“（演示项）”中要求的功能模块，确保评审人员能够准确评估。 ③供应商将演示材料存储于U盘中，U盘（随纸质响应文件密封）递交。每个供应商的演示材料展示时长不得超过10分钟。U盘内容如损坏或无法正常读取，造成的不利于供应商的情形由供应商自行负责。 ④如提供视频或DEMO，须附带说明文档。</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5服务响应偏离表.docx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 供应商针对本项目提供总体实施方案，包括：①项目实施方案；②深化设计方案；③系统运行测试方案；④对接方案。 二、评审标准 1、完整性：方案必须全面，对评审内容中的各项要求有详细描述； 2、实用性：切合本项目实际情况，提出步骤清晰、措施明确；针对实施过程中的重难点分析到位并有相应的解决方案。 三、赋分标准（满分12分） ①项目实施方案：每完全满足一个评审标准得1.5分，满分3分； ②深化设计方案：每完全满足一个评审标准得1.5分，满分3分； ③系统运行测试方案：每完全满足一个评审标准得1.5分，满分3分； ④对接方案：每完全满足一个评审标准得1.5分，满分3分。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6总体实施方案.docx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 供应商针对服务内容及要求提供质量保障方案，包括：①全过程质量控制措施；②质量承诺；③应急预案。 二、评审标准 1、完整性：方案必须全面，对评审内容中的各项要求有详细描述； 2、实用性：切合本项目实际情况，提出步骤清晰、措施明确；针对实施过程中的重难点分析到位并有相应的解决方案。 三、赋分标准（满分6分） ①全过程质量控制措施：每完全满足一个评审标准得1分，满分2分； ②质量承诺：每完全满足一个评审标准得1分，满分2分； ③应急预案：每完全满足一个评审标准得1分，满分2分。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7质量保障方案.docx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供应商针对本项目提供培训方案，包括：①培训内容设计；②培训方式与计划；③培训效果评估与改进措施。 二、评审标准 1、完整性：方案必须全面，对评审内容中的各项要求有详细描述； 2、实用性：切合本项目实际情况，提出步骤清晰、措施明确；针对实施过程中的重难点分析到位并有相应的解决方案。 三、赋分标准（满分6分） ①培训内容设计：每完全满足一个评审标准得1分，满分2分； ②培训方式与计划：每完全满足一个评审标准得1分，满分2分； ③培训效果评估与改进措施：每完全满足一个评审标准得1分，满分2分。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供应商针对本项目提供售后服务方案，包括：①售后响应时间；②售后方式；③售后服务人员配置；④质保方案。 二、评审标准 1、完整性：方案必须全面，对评审内容中的各项要求有详细描述； 2、实用性：切合本项目实际情况，内容明确；针对实施过程中的重难点分析到位并有相应的解决方案。 三、赋分标准（满分8分） ①售后响应时间：每完全满足一个评审标准得1分，满分2分； ②售后方式：每完全满足一个评审标准得1分，满分2分； ③售后服务人员配置：每完全满足一个评审标准得1分，满分2分； ④质保方案：每完全满足一个评审标准得1分，满分2分。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9售后服务方案.docx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 供应商针对本项目的项目团队，提供①团队清单及岗位职责划分；②人员工作经验证明材料（提供工作履历、职业证书等相关证明材料）。 二、评审标准 1、完整性：内容必须全面，对评审内容中的各项要求有详细描述； 2、实用性：切合本项目实际情况，人员配备满足项目实施需求。 三、赋分标准（满分4分） ①团队清单及岗位职责划分：每完全满足一个评审标准得1分，满分2分； ②人员工作经验证明材料：每完全满足一个评审标准得1分，满分2分。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10项目团队.docx</w:t>
            </w:r>
          </w:p>
        </w:tc>
      </w:tr>
      <w:tr>
        <w:tc>
          <w:tcPr>
            <w:tcW w:type="dxa" w:w="831"/>
            <w:vMerge/>
          </w:tcPr>
          <w:p/>
        </w:tc>
        <w:tc>
          <w:tcPr>
            <w:tcW w:type="dxa" w:w="1661"/>
          </w:tcPr>
          <w:p>
            <w:pPr>
              <w:pStyle w:val="null3"/>
            </w:pPr>
            <w:r>
              <w:rPr>
                <w:rFonts w:ascii="仿宋_GB2312" w:hAnsi="仿宋_GB2312" w:cs="仿宋_GB2312" w:eastAsia="仿宋_GB2312"/>
              </w:rPr>
              <w:t>软件技术研发能力</w:t>
            </w:r>
          </w:p>
        </w:tc>
        <w:tc>
          <w:tcPr>
            <w:tcW w:type="dxa" w:w="2492"/>
          </w:tcPr>
          <w:p>
            <w:pPr>
              <w:pStyle w:val="null3"/>
            </w:pPr>
            <w:r>
              <w:rPr>
                <w:rFonts w:ascii="仿宋_GB2312" w:hAnsi="仿宋_GB2312" w:cs="仿宋_GB2312" w:eastAsia="仿宋_GB2312"/>
              </w:rPr>
              <w:t>供应商具有与本项目相关的软件服务能力，并提供以下证明材料： 1、第三方出具的“医务综合管理系统”类别的软件产品登记测试报告。提供此项报告，得3分。 2、同时供应商还应提供但不限于“数字医务”或“数据分析”或“资质授权管理”或“准入分级管理”或“医疗质量与安全”或“日常统计”或“医疗管理”或“纠纷管理”或“风险预警”相关类别的软件著作权证书，每提供1项有效证书得1.5分（同一个类别提供多个证书只计一次分），最高得6分。 备注：以上所有证书均需提供证书清晰扫描件并加盖供应商公章，且证书编号及关键信息须清晰可辨。如未按要求提供或信息不清晰，则相应项不得分。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11软件技术研发能力.docx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供应商应提供2022年1月1日至今类似项目合同（以合同签订日期为准），每提供1个得2分，最高得6分。 备注：响应文件中提供合同扫描件和验收通过证明材料并加盖公章。（每一份业绩中如未提供验收证明资料或合同，视为无效响应，缺一不可，时间以合同签订时间为准）。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即满足磋商文件要求且价格最低的报价为磋商基准价，其价格分为满分。其他响应单位的价格分统一按照下列公式计算： 磋商报价得分=（评标基准价/磋商报价）×价格权值×100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详见附件：5服务响应偏离表.docx</w:t>
      </w:r>
    </w:p>
    <w:p>
      <w:pPr>
        <w:pStyle w:val="null3"/>
        <w:ind w:firstLine="960"/>
      </w:pPr>
      <w:r>
        <w:rPr>
          <w:rFonts w:ascii="仿宋_GB2312" w:hAnsi="仿宋_GB2312" w:cs="仿宋_GB2312" w:eastAsia="仿宋_GB2312"/>
        </w:rPr>
        <w:t>详见附件：6总体实施方案.docx</w:t>
      </w:r>
    </w:p>
    <w:p>
      <w:pPr>
        <w:pStyle w:val="null3"/>
        <w:ind w:firstLine="960"/>
      </w:pPr>
      <w:r>
        <w:rPr>
          <w:rFonts w:ascii="仿宋_GB2312" w:hAnsi="仿宋_GB2312" w:cs="仿宋_GB2312" w:eastAsia="仿宋_GB2312"/>
        </w:rPr>
        <w:t>详见附件：7质量保障方案.docx</w:t>
      </w:r>
    </w:p>
    <w:p>
      <w:pPr>
        <w:pStyle w:val="null3"/>
        <w:ind w:firstLine="960"/>
      </w:pPr>
      <w:r>
        <w:rPr>
          <w:rFonts w:ascii="仿宋_GB2312" w:hAnsi="仿宋_GB2312" w:cs="仿宋_GB2312" w:eastAsia="仿宋_GB2312"/>
        </w:rPr>
        <w:t>详见附件：8培训方案.docx</w:t>
      </w:r>
    </w:p>
    <w:p>
      <w:pPr>
        <w:pStyle w:val="null3"/>
        <w:ind w:firstLine="960"/>
      </w:pPr>
      <w:r>
        <w:rPr>
          <w:rFonts w:ascii="仿宋_GB2312" w:hAnsi="仿宋_GB2312" w:cs="仿宋_GB2312" w:eastAsia="仿宋_GB2312"/>
        </w:rPr>
        <w:t>详见附件：9售后服务方案.docx</w:t>
      </w:r>
    </w:p>
    <w:p>
      <w:pPr>
        <w:pStyle w:val="null3"/>
        <w:ind w:firstLine="960"/>
      </w:pPr>
      <w:r>
        <w:rPr>
          <w:rFonts w:ascii="仿宋_GB2312" w:hAnsi="仿宋_GB2312" w:cs="仿宋_GB2312" w:eastAsia="仿宋_GB2312"/>
        </w:rPr>
        <w:t>详见附件：10项目团队.docx</w:t>
      </w:r>
    </w:p>
    <w:p>
      <w:pPr>
        <w:pStyle w:val="null3"/>
        <w:ind w:firstLine="960"/>
      </w:pPr>
      <w:r>
        <w:rPr>
          <w:rFonts w:ascii="仿宋_GB2312" w:hAnsi="仿宋_GB2312" w:cs="仿宋_GB2312" w:eastAsia="仿宋_GB2312"/>
        </w:rPr>
        <w:t>详见附件：11软件技术研发能力.docx</w:t>
      </w:r>
    </w:p>
    <w:p>
      <w:pPr>
        <w:pStyle w:val="null3"/>
        <w:ind w:firstLine="960"/>
      </w:pPr>
      <w:r>
        <w:rPr>
          <w:rFonts w:ascii="仿宋_GB2312" w:hAnsi="仿宋_GB2312" w:cs="仿宋_GB2312" w:eastAsia="仿宋_GB2312"/>
        </w:rPr>
        <w:t>详见附件：12业绩.docx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