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版本号：ZX2025-09-3220250922001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省文旅监测平台客流和视频数据应用提升项目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ZX2025-09-32</w:t>
      </w:r>
      <w:r>
        <w:br/>
      </w:r>
      <w:r>
        <w:br/>
      </w:r>
      <w:r>
        <w:br/>
      </w:r>
    </w:p>
    <w:p>
      <w:pPr>
        <w:pStyle w:val="null3"/>
        <w:jc w:val="center"/>
        <w:outlineLvl w:val="2"/>
      </w:pPr>
      <w:r>
        <w:rPr>
          <w:rFonts w:ascii="仿宋_GB2312" w:hAnsi="仿宋_GB2312" w:cs="仿宋_GB2312" w:eastAsia="仿宋_GB2312"/>
          <w:sz w:val="28"/>
          <w:b/>
        </w:rPr>
        <w:t>陕西省文化和旅游数据中心</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陕西省文化和旅游数据中心</w:t>
      </w:r>
      <w:r>
        <w:rPr>
          <w:rFonts w:ascii="仿宋_GB2312" w:hAnsi="仿宋_GB2312" w:cs="仿宋_GB2312" w:eastAsia="仿宋_GB2312"/>
        </w:rPr>
        <w:t>委托，拟对</w:t>
      </w:r>
      <w:r>
        <w:rPr>
          <w:rFonts w:ascii="仿宋_GB2312" w:hAnsi="仿宋_GB2312" w:cs="仿宋_GB2312" w:eastAsia="仿宋_GB2312"/>
        </w:rPr>
        <w:t>省文旅监测平台客流和视频数据应用提升项目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ZX2025-09-32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省文旅监测平台客流和视频数据应用提升项目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建设内容：基于文旅景区客流数据对接标准的全省文旅客流数据基础夯实与完善工作，维护完善现有文旅景区数据的同时扩充新增景区客流数据对接、完善，扩充部分视频数据的接入及维护。基于一期智慧伴游建设的文旅景区讲解知识库打造、完善及大模型能力能力调用，包括文旅向量实时库建设及完善，文旅多语种讲解及语音识别模型调用。具体采购需求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采购包1（省文旅监测平台客流和视频数据应用提升项目）：属于专门面向中小企业采购。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陕西省文化和旅游数据中心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西安市新城区西一路197号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029-87272391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张爽 王宇轩 马演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采购包1保证金金额：15,932.00元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陕西省文化和旅游数据中心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陕西省文化和旅游数据中心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陕西省文化和旅游数据中心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根据磋商文件、成交供应商响应文件和合同文本执行。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建设内容：基于文旅景区客流数据对接标准的全省文旅客流数据基础夯实与完善工作，维护完善现有文旅景区数据的同时扩充新增景区客流数据对接、完善，扩充部分视频数据的接入及维护。基于一期智慧伴游建设的文旅景区讲解知识库打造、完善及大模型能力能力调用，包括文旅向量实时库建设及完善，文旅多语种讲解及语音识别模型调用。具体采购需求详见磋商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996,800.00</w:t>
      </w:r>
    </w:p>
    <w:p>
      <w:pPr>
        <w:pStyle w:val="null3"/>
      </w:pPr>
      <w:r>
        <w:rPr>
          <w:rFonts w:ascii="仿宋_GB2312" w:hAnsi="仿宋_GB2312" w:cs="仿宋_GB2312" w:eastAsia="仿宋_GB2312"/>
        </w:rPr>
        <w:t>采购包最高限价（元）: 996,800.00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省文旅监测平台客流和视频数据应用提升项目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996,800.00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标的名称：省文旅监测平台客流和视频数据应用提升项目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一、建设内容</w:t>
            </w:r>
          </w:p>
          <w:p>
            <w:pPr>
              <w:pStyle w:val="null3"/>
            </w:pPr>
            <w:r>
              <w:rPr>
                <w:rFonts w:ascii="仿宋_GB2312" w:hAnsi="仿宋_GB2312" w:cs="仿宋_GB2312" w:eastAsia="仿宋_GB2312"/>
              </w:rPr>
              <w:t>基于文旅景区客流数据对接标准的全省文旅客流数据基础夯实与完善工作，维护完善现有文旅景区数据的同时扩充新增景区客流数据对接、完善，扩充部分视频数据的接入及维护。基于一期智慧伴游建设的文旅景区讲解知识库打造、完善及大模型能力能力调用，包括文旅向量实时库建设及完善，文旅多语种讲解及语音识别模型调用。</w:t>
            </w:r>
          </w:p>
          <w:p>
            <w:pPr>
              <w:pStyle w:val="null3"/>
            </w:pPr>
            <w:r>
              <w:rPr>
                <w:rFonts w:ascii="仿宋_GB2312" w:hAnsi="仿宋_GB2312" w:cs="仿宋_GB2312" w:eastAsia="仿宋_GB2312"/>
                <w:b/>
              </w:rPr>
              <w:t>二、技术要求</w:t>
            </w:r>
          </w:p>
          <w:p>
            <w:pPr>
              <w:pStyle w:val="null3"/>
            </w:pPr>
            <w:r>
              <w:rPr>
                <w:rFonts w:ascii="仿宋_GB2312" w:hAnsi="仿宋_GB2312" w:cs="仿宋_GB2312" w:eastAsia="仿宋_GB2312"/>
              </w:rPr>
              <w:t>（一）客流数据夯实及接入</w:t>
            </w:r>
          </w:p>
          <w:p>
            <w:pPr>
              <w:pStyle w:val="null3"/>
            </w:pPr>
            <w:r>
              <w:rPr>
                <w:rFonts w:ascii="仿宋_GB2312" w:hAnsi="仿宋_GB2312" w:cs="仿宋_GB2312" w:eastAsia="仿宋_GB2312"/>
              </w:rPr>
              <w:t>基于文旅景区客流数据对接标准的全省文旅客流数据基础夯实与完善，维护完善现有文旅景区数据的同时扩充新增景区客流数据对接、完善。</w:t>
            </w:r>
          </w:p>
          <w:p>
            <w:pPr>
              <w:pStyle w:val="null3"/>
            </w:pPr>
            <w:r>
              <w:rPr>
                <w:rFonts w:ascii="仿宋_GB2312" w:hAnsi="仿宋_GB2312" w:cs="仿宋_GB2312" w:eastAsia="仿宋_GB2312"/>
              </w:rPr>
              <w:t>1.客流数据夯实完善</w:t>
            </w:r>
          </w:p>
          <w:p>
            <w:pPr>
              <w:pStyle w:val="null3"/>
            </w:pPr>
            <w:r>
              <w:rPr>
                <w:rFonts w:ascii="仿宋_GB2312" w:hAnsi="仿宋_GB2312" w:cs="仿宋_GB2312" w:eastAsia="仿宋_GB2312"/>
              </w:rPr>
              <w:t>基于文旅景区客流数据对接标准的全省文旅客流数据基础夯实与完善，对已经实现客流接入到省平台的景区中缺少出口数据的景区进行数据完善提升工作，通过安装客流摄像机（具备客流采集及上传能力）形式补充出口部分数据，并对接入的摄像头客流数据进行处理，能够实现与原有数据的融合，完善景区在园客流数据内容。计划配备摄像头数量18个，依托景区网络环境，主要配备给数据持续稳定、配合度较高的文旅景区。（要求完成设备安装、调试、数据上传，最终数量以实际对接为准，2年维护服务。）</w:t>
            </w:r>
          </w:p>
          <w:p>
            <w:pPr>
              <w:pStyle w:val="null3"/>
            </w:pPr>
            <w:r>
              <w:rPr>
                <w:rFonts w:ascii="仿宋_GB2312" w:hAnsi="仿宋_GB2312" w:cs="仿宋_GB2312" w:eastAsia="仿宋_GB2312"/>
              </w:rPr>
              <w:t>2.新增客流数据对接</w:t>
            </w:r>
          </w:p>
          <w:p>
            <w:pPr>
              <w:pStyle w:val="null3"/>
            </w:pPr>
            <w:r>
              <w:rPr>
                <w:rFonts w:ascii="仿宋_GB2312" w:hAnsi="仿宋_GB2312" w:cs="仿宋_GB2312" w:eastAsia="仿宋_GB2312"/>
              </w:rPr>
              <w:t>按照截止2025年8月31日前全省新增景区中满足客流数据对接要求的景区进行客流对接，对接景区数量初步规划5个，执行参考标准《陕西省文旅监测平台客流数据对接标准（2025年修订）》，以实际对接为准。（最终数量以实际对接为准，要求提供2年数据维护服务。）</w:t>
            </w:r>
          </w:p>
          <w:p>
            <w:pPr>
              <w:pStyle w:val="null3"/>
            </w:pPr>
            <w:r>
              <w:rPr>
                <w:rFonts w:ascii="仿宋_GB2312" w:hAnsi="仿宋_GB2312" w:cs="仿宋_GB2312" w:eastAsia="仿宋_GB2312"/>
              </w:rPr>
              <w:t>（二）平台视频数据接入</w:t>
            </w:r>
          </w:p>
          <w:p>
            <w:pPr>
              <w:pStyle w:val="null3"/>
            </w:pPr>
            <w:r>
              <w:rPr>
                <w:rFonts w:ascii="仿宋_GB2312" w:hAnsi="仿宋_GB2312" w:cs="仿宋_GB2312" w:eastAsia="仿宋_GB2312"/>
              </w:rPr>
              <w:t>1.视频通道扩容</w:t>
            </w:r>
          </w:p>
          <w:p>
            <w:pPr>
              <w:pStyle w:val="null3"/>
            </w:pPr>
            <w:r>
              <w:rPr>
                <w:rFonts w:ascii="仿宋_GB2312" w:hAnsi="仿宋_GB2312" w:cs="仿宋_GB2312" w:eastAsia="仿宋_GB2312"/>
              </w:rPr>
              <w:t>支持视频数据接入的平台扩容及维护，为满足视频数据对接通道的需求，提供3000个视频通道18个月服务。</w:t>
            </w:r>
          </w:p>
          <w:p>
            <w:pPr>
              <w:pStyle w:val="null3"/>
            </w:pPr>
            <w:r>
              <w:rPr>
                <w:rFonts w:ascii="仿宋_GB2312" w:hAnsi="仿宋_GB2312" w:cs="仿宋_GB2312" w:eastAsia="仿宋_GB2312"/>
              </w:rPr>
              <w:t>2.视频数据接入</w:t>
            </w:r>
          </w:p>
          <w:p>
            <w:pPr>
              <w:pStyle w:val="null3"/>
            </w:pPr>
            <w:r>
              <w:rPr>
                <w:rFonts w:ascii="仿宋_GB2312" w:hAnsi="仿宋_GB2312" w:cs="仿宋_GB2312" w:eastAsia="仿宋_GB2312"/>
              </w:rPr>
              <w:t>支持对景区视频数据的接入，探索通过GB28181协议接入，接入景区数量20个，每个景区不低于4路视频。（要求提供2年数据运维服务。）</w:t>
            </w:r>
          </w:p>
          <w:p>
            <w:pPr>
              <w:pStyle w:val="null3"/>
            </w:pPr>
            <w:r>
              <w:rPr>
                <w:rFonts w:ascii="仿宋_GB2312" w:hAnsi="仿宋_GB2312" w:cs="仿宋_GB2312" w:eastAsia="仿宋_GB2312"/>
              </w:rPr>
              <w:t>（三）智慧伴游系统应用提升</w:t>
            </w:r>
          </w:p>
          <w:p>
            <w:pPr>
              <w:pStyle w:val="null3"/>
            </w:pPr>
            <w:r>
              <w:rPr>
                <w:rFonts w:ascii="仿宋_GB2312" w:hAnsi="仿宋_GB2312" w:cs="仿宋_GB2312" w:eastAsia="仿宋_GB2312"/>
              </w:rPr>
              <w:t>基于智慧伴游现有建设功能的需求优化提升与应用研究。</w:t>
            </w:r>
          </w:p>
          <w:p>
            <w:pPr>
              <w:pStyle w:val="null3"/>
            </w:pPr>
            <w:r>
              <w:rPr>
                <w:rFonts w:ascii="仿宋_GB2312" w:hAnsi="仿宋_GB2312" w:cs="仿宋_GB2312" w:eastAsia="仿宋_GB2312"/>
              </w:rPr>
              <w:t>1.模块提升</w:t>
            </w:r>
          </w:p>
          <w:p>
            <w:pPr>
              <w:pStyle w:val="null3"/>
            </w:pPr>
            <w:r>
              <w:rPr>
                <w:rFonts w:ascii="仿宋_GB2312" w:hAnsi="仿宋_GB2312" w:cs="仿宋_GB2312" w:eastAsia="仿宋_GB2312"/>
              </w:rPr>
              <w:t>问题推荐：对景区问答集通过排序管理的方式，游客每次提问后根据当前提问自动推荐前后各3个问题。</w:t>
            </w:r>
          </w:p>
          <w:p>
            <w:pPr>
              <w:pStyle w:val="null3"/>
            </w:pPr>
            <w:r>
              <w:rPr>
                <w:rFonts w:ascii="仿宋_GB2312" w:hAnsi="仿宋_GB2312" w:cs="仿宋_GB2312" w:eastAsia="仿宋_GB2312"/>
              </w:rPr>
              <w:t>多语种支持：根据游客在小程序端选择的语种，大模型将生成内容以游客语种输出，通过语音接口按匹配语种播放。具体实现语种包括：中、英、日、印尼、马来语、越南语、韩语、俄语、西班牙语、意大利语、法语、德语、泰语。</w:t>
            </w:r>
          </w:p>
          <w:p>
            <w:pPr>
              <w:pStyle w:val="null3"/>
            </w:pPr>
            <w:r>
              <w:rPr>
                <w:rFonts w:ascii="仿宋_GB2312" w:hAnsi="仿宋_GB2312" w:cs="仿宋_GB2312" w:eastAsia="仿宋_GB2312"/>
              </w:rPr>
              <w:t>知识库资料分类管理：后端知识库通过多级模式，景区导游资料按：国家-省-市-县-景区五级管理模式。</w:t>
            </w:r>
          </w:p>
          <w:p>
            <w:pPr>
              <w:pStyle w:val="null3"/>
            </w:pPr>
            <w:r>
              <w:rPr>
                <w:rFonts w:ascii="仿宋_GB2312" w:hAnsi="仿宋_GB2312" w:cs="仿宋_GB2312" w:eastAsia="仿宋_GB2312"/>
              </w:rPr>
              <w:t>景区管理：建设景区管理子系统，实现对景区的首页图片、名称、中心点经纬度坐标、范围半径等信息的管理。管理后台具备景区管理的增、删、查、改功能。</w:t>
            </w:r>
          </w:p>
          <w:p>
            <w:pPr>
              <w:pStyle w:val="null3"/>
            </w:pPr>
            <w:r>
              <w:rPr>
                <w:rFonts w:ascii="仿宋_GB2312" w:hAnsi="仿宋_GB2312" w:cs="仿宋_GB2312" w:eastAsia="仿宋_GB2312"/>
              </w:rPr>
              <w:t>问答集动态更新：按“众包”思路构建游客点赞后的大模型生成的问答对回传保存至系统临时问答库，由后台管理人员审核无误后一键添加至正式问答集，不符合规范的问答对进行删除。</w:t>
            </w:r>
          </w:p>
          <w:p>
            <w:pPr>
              <w:pStyle w:val="null3"/>
            </w:pPr>
            <w:r>
              <w:rPr>
                <w:rFonts w:ascii="仿宋_GB2312" w:hAnsi="仿宋_GB2312" w:cs="仿宋_GB2312" w:eastAsia="仿宋_GB2312"/>
              </w:rPr>
              <w:t>UI设计及重构：对系统页面进行UI的设计及重构，提升视觉效果。</w:t>
            </w:r>
          </w:p>
          <w:p>
            <w:pPr>
              <w:pStyle w:val="null3"/>
            </w:pPr>
            <w:r>
              <w:rPr>
                <w:rFonts w:ascii="仿宋_GB2312" w:hAnsi="仿宋_GB2312" w:cs="仿宋_GB2312" w:eastAsia="仿宋_GB2312"/>
              </w:rPr>
              <w:t>2.数据维护及运维</w:t>
            </w:r>
          </w:p>
          <w:p>
            <w:pPr>
              <w:pStyle w:val="null3"/>
            </w:pPr>
            <w:r>
              <w:rPr>
                <w:rFonts w:ascii="仿宋_GB2312" w:hAnsi="仿宋_GB2312" w:cs="仿宋_GB2312" w:eastAsia="仿宋_GB2312"/>
              </w:rPr>
              <w:t>问答集资料处理：完成96个景区问答集资料及10个景区的长文本资料处理（俚语、歧义修正、意识形态错误处理等）及上传，汉语音频资料上传，12种语言翻译后的内容形式检查及音频合成形式检查。</w:t>
            </w:r>
          </w:p>
          <w:p>
            <w:pPr>
              <w:pStyle w:val="null3"/>
            </w:pPr>
            <w:r>
              <w:rPr>
                <w:rFonts w:ascii="仿宋_GB2312" w:hAnsi="仿宋_GB2312" w:cs="仿宋_GB2312" w:eastAsia="仿宋_GB2312"/>
              </w:rPr>
              <w:t>外语UI文本内容整理：12种外语UI文本内容整理编辑，13种语言帮助文档编制。</w:t>
            </w:r>
          </w:p>
          <w:p>
            <w:pPr>
              <w:pStyle w:val="null3"/>
            </w:pPr>
            <w:r>
              <w:rPr>
                <w:rFonts w:ascii="仿宋_GB2312" w:hAnsi="仿宋_GB2312" w:cs="仿宋_GB2312" w:eastAsia="仿宋_GB2312"/>
              </w:rPr>
              <w:t>景区资料处理：省内A级以上景区经纬度、半径等基本数据检索处理、资料上传、涉及行政区的提问设置等。</w:t>
            </w:r>
          </w:p>
          <w:p>
            <w:pPr>
              <w:pStyle w:val="null3"/>
            </w:pPr>
            <w:r>
              <w:rPr>
                <w:rFonts w:ascii="仿宋_GB2312" w:hAnsi="仿宋_GB2312" w:cs="仿宋_GB2312" w:eastAsia="仿宋_GB2312"/>
              </w:rPr>
              <w:t>3.大模型能力调用</w:t>
            </w:r>
          </w:p>
          <w:p>
            <w:pPr>
              <w:pStyle w:val="null3"/>
            </w:pPr>
            <w:r>
              <w:rPr>
                <w:rFonts w:ascii="仿宋_GB2312" w:hAnsi="仿宋_GB2312" w:cs="仿宋_GB2312" w:eastAsia="仿宋_GB2312"/>
              </w:rPr>
              <w:t>对大模型的调用：大模型接口对接、构建向量数据库、前期机器翻译等调用，提供24个月持续调用服务。</w:t>
            </w:r>
          </w:p>
          <w:p>
            <w:pPr>
              <w:pStyle w:val="null3"/>
            </w:pPr>
            <w:r>
              <w:rPr>
                <w:rFonts w:ascii="仿宋_GB2312" w:hAnsi="仿宋_GB2312" w:cs="仿宋_GB2312" w:eastAsia="仿宋_GB2312"/>
              </w:rPr>
              <w:t>语言识别及合成：长文本语音合成、短文本语音识别及合成，提供24个月持续调用服务。</w:t>
            </w:r>
          </w:p>
          <w:p>
            <w:pPr>
              <w:pStyle w:val="null3"/>
            </w:pPr>
            <w:r>
              <w:rPr>
                <w:rFonts w:ascii="仿宋_GB2312" w:hAnsi="仿宋_GB2312" w:cs="仿宋_GB2312" w:eastAsia="仿宋_GB2312"/>
              </w:rPr>
              <w:t>4.系统运维</w:t>
            </w:r>
          </w:p>
          <w:p>
            <w:pPr>
              <w:pStyle w:val="null3"/>
            </w:pPr>
            <w:r>
              <w:rPr>
                <w:rFonts w:ascii="仿宋_GB2312" w:hAnsi="仿宋_GB2312" w:cs="仿宋_GB2312" w:eastAsia="仿宋_GB2312"/>
              </w:rPr>
              <w:t>对系统进行持续2年的运维服务，包含性能监测、动态负载均衡、云资源管理、小程序年审、云服务接口升级适配、数据库优化、云服务器运维。</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自验收之日起2年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陕西省文化和旅游数据中心指定地点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（1）质量标准，符合国家行业相关标准。 （2）验收：根据磋商文件、成交供应商响应文件和合同文本执行。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根据磋商文件、成交供应商响应文件和合同文本执行。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3资格证明文件.docx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总报价未超过磋商文件中规定的最高限价的</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满足本磋商文件中3.3商务要求中服务期限、服务地点、支付约定要求的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4承诺书.docx 5服务响应偏离表.docx 1分项价格表.docx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项目理解与需求分析</w:t>
            </w:r>
          </w:p>
        </w:tc>
        <w:tc>
          <w:tcPr>
            <w:tcW w:type="dxa" w:w="2492"/>
          </w:tcPr>
          <w:p>
            <w:pPr>
              <w:pStyle w:val="null3"/>
            </w:pPr>
            <w:r>
              <w:rPr>
                <w:rFonts w:ascii="仿宋_GB2312" w:hAnsi="仿宋_GB2312" w:cs="仿宋_GB2312" w:eastAsia="仿宋_GB2312"/>
              </w:rPr>
              <w:t>供应商提供针对本项目的建设内容理解与需求分析，包括但不限于项目相关现状分析、建设需求目标理解等方面。 满足磋商文件要求，无瑕疵：6分； 内容存在1处瑕疵：5分； 内容存在2处瑕疵：4分； 内容存在3处瑕疵：3分； 内容存在4处瑕疵：2分； 内容存在5处瑕疵：1分； 未提供或内容存在6处及以上瑕疵：0分。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中，针对瑕疵的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6项目理解与需求分析.docx</w:t>
            </w:r>
          </w:p>
        </w:tc>
      </w:tr>
      <w:tr>
        <w:tc>
          <w:tcPr>
            <w:tcW w:type="dxa" w:w="831"/>
            <w:vMerge/>
          </w:tcPr>
          <w:p/>
        </w:tc>
        <w:tc>
          <w:tcPr>
            <w:tcW w:type="dxa" w:w="1661"/>
          </w:tcPr>
          <w:p>
            <w:pPr>
              <w:pStyle w:val="null3"/>
            </w:pPr>
            <w:r>
              <w:rPr>
                <w:rFonts w:ascii="仿宋_GB2312" w:hAnsi="仿宋_GB2312" w:cs="仿宋_GB2312" w:eastAsia="仿宋_GB2312"/>
              </w:rPr>
              <w:t>客流数据维护提升方案</w:t>
            </w:r>
          </w:p>
        </w:tc>
        <w:tc>
          <w:tcPr>
            <w:tcW w:type="dxa" w:w="2492"/>
          </w:tcPr>
          <w:p>
            <w:pPr>
              <w:pStyle w:val="null3"/>
            </w:pPr>
            <w:r>
              <w:rPr>
                <w:rFonts w:ascii="仿宋_GB2312" w:hAnsi="仿宋_GB2312" w:cs="仿宋_GB2312" w:eastAsia="仿宋_GB2312"/>
              </w:rPr>
              <w:t>供应商根据本项目采购需求，提供客流数据维护提升方案，内容包括但不限于①拟配备客流摄像机品牌、型号、性能阐述与安装调试方案、②接入摄像头获取的客流数据处理与融合方案、③新增客流数据对接方案（对接技术标准、数据核查、以及重难点分析）。 满足磋商文件要求，无瑕疵：15分； 内容存在1处瑕疵：13分； 内容存在2处瑕疵：11分； 内容存在3处瑕疵：9分； 内容存在4处瑕疵：7分； 内容存在5处瑕疵：5分； 内容存在6处瑕疵：3分； 内容存在7处瑕疵：1分； 未提供或内容存在8处及以上瑕疵：0分。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7客流数据维护提升方案.docx</w:t>
            </w:r>
          </w:p>
        </w:tc>
      </w:tr>
      <w:tr>
        <w:tc>
          <w:tcPr>
            <w:tcW w:type="dxa" w:w="831"/>
            <w:vMerge/>
          </w:tcPr>
          <w:p/>
        </w:tc>
        <w:tc>
          <w:tcPr>
            <w:tcW w:type="dxa" w:w="1661"/>
          </w:tcPr>
          <w:p>
            <w:pPr>
              <w:pStyle w:val="null3"/>
            </w:pPr>
            <w:r>
              <w:rPr>
                <w:rFonts w:ascii="仿宋_GB2312" w:hAnsi="仿宋_GB2312" w:cs="仿宋_GB2312" w:eastAsia="仿宋_GB2312"/>
              </w:rPr>
              <w:t>供货来源渠道</w:t>
            </w:r>
          </w:p>
        </w:tc>
        <w:tc>
          <w:tcPr>
            <w:tcW w:type="dxa" w:w="2492"/>
          </w:tcPr>
          <w:p>
            <w:pPr>
              <w:pStyle w:val="null3"/>
            </w:pPr>
            <w:r>
              <w:rPr>
                <w:rFonts w:ascii="仿宋_GB2312" w:hAnsi="仿宋_GB2312" w:cs="仿宋_GB2312" w:eastAsia="仿宋_GB2312"/>
              </w:rPr>
              <w:t>供应商提供拟配备的客流摄像机的合法来源渠道证明文件（包括但不限于销售协议或代理协议或原厂授权等），提供计2分，未提供不计分。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8供货来源渠道.docx</w:t>
            </w:r>
          </w:p>
        </w:tc>
      </w:tr>
      <w:tr>
        <w:tc>
          <w:tcPr>
            <w:tcW w:type="dxa" w:w="831"/>
            <w:vMerge/>
          </w:tcPr>
          <w:p/>
        </w:tc>
        <w:tc>
          <w:tcPr>
            <w:tcW w:type="dxa" w:w="1661"/>
          </w:tcPr>
          <w:p>
            <w:pPr>
              <w:pStyle w:val="null3"/>
            </w:pPr>
            <w:r>
              <w:rPr>
                <w:rFonts w:ascii="仿宋_GB2312" w:hAnsi="仿宋_GB2312" w:cs="仿宋_GB2312" w:eastAsia="仿宋_GB2312"/>
              </w:rPr>
              <w:t>平台视频数据接入方案</w:t>
            </w:r>
          </w:p>
        </w:tc>
        <w:tc>
          <w:tcPr>
            <w:tcW w:type="dxa" w:w="2492"/>
          </w:tcPr>
          <w:p>
            <w:pPr>
              <w:pStyle w:val="null3"/>
            </w:pPr>
            <w:r>
              <w:rPr>
                <w:rFonts w:ascii="仿宋_GB2312" w:hAnsi="仿宋_GB2312" w:cs="仿宋_GB2312" w:eastAsia="仿宋_GB2312"/>
              </w:rPr>
              <w:t>供应商根据本项目采购需求，提供平台视频数据接入方案，内容包括但不限于①视频通道扩容技术方案、②视频数据接入方案、③数据安全保障与运维服务。方案内容完整，对评审内容中的各项要求有详细描述；切合本项目实际情况，能有效保障本项目实施。 满足磋商文件要求，无瑕疵：9分； 内容存在1处瑕疵：8分； 内容存在2处瑕疵：7分； 内容存在3处瑕疵：6分； 内容存在4处瑕疵：5分； 内容存在5处瑕疵：4分； 内容存在6处瑕疵：3分； 内容存在7处瑕疵：2分； 内容存在8处瑕疵：1分； 未提供或内容存在9处及以上瑕疵：0分。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9平台视频数据接入方案.docx</w:t>
            </w:r>
          </w:p>
        </w:tc>
      </w:tr>
      <w:tr>
        <w:tc>
          <w:tcPr>
            <w:tcW w:type="dxa" w:w="831"/>
            <w:vMerge/>
          </w:tcPr>
          <w:p/>
        </w:tc>
        <w:tc>
          <w:tcPr>
            <w:tcW w:type="dxa" w:w="1661"/>
          </w:tcPr>
          <w:p>
            <w:pPr>
              <w:pStyle w:val="null3"/>
            </w:pPr>
            <w:r>
              <w:rPr>
                <w:rFonts w:ascii="仿宋_GB2312" w:hAnsi="仿宋_GB2312" w:cs="仿宋_GB2312" w:eastAsia="仿宋_GB2312"/>
              </w:rPr>
              <w:t>智慧伴游系统应用提升方案</w:t>
            </w:r>
          </w:p>
        </w:tc>
        <w:tc>
          <w:tcPr>
            <w:tcW w:type="dxa" w:w="2492"/>
          </w:tcPr>
          <w:p>
            <w:pPr>
              <w:pStyle w:val="null3"/>
            </w:pPr>
            <w:r>
              <w:rPr>
                <w:rFonts w:ascii="仿宋_GB2312" w:hAnsi="仿宋_GB2312" w:cs="仿宋_GB2312" w:eastAsia="仿宋_GB2312"/>
              </w:rPr>
              <w:t>供应商根据本项目采购需求，提供智慧伴游系统应用提升方案，内容包括但不限于①模块提升设计与技术方案；②相关资料文本整理方案；③大模型的调用及语言识别合成服务方案。要求方案内容完整，对评审内容中的各项要求有详细描述；切合本项目实际情况，能有效保障本项目实施。 满足磋商文件要求，无瑕疵：15分； 内容存在1处瑕疵：13分； 内容存在2处瑕疵：11分； 内容存在3处瑕疵：9分； 内容存在4处瑕疵：7分； 内容存在5处瑕疵：5分； 内容存在6处瑕疵：3分； 内容存在7处瑕疵：1分； 未提供或内容存在8处及以上瑕疵：0分。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10智慧伴游系统应用提升方案.docx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供应商针对本项目建设内容提供详细的进度安排计划，内容包括但不限于①各阶段进度安排、②进度保障措施。 满足磋商文件要求，无瑕疵：6分；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11进度安排.docx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供应商针对本项目提供质量保障措施。内容至少包含：①制定质量控制目标；②建设内容质量保证措施；③服务水平保证措施。 满足磋商文件要求，无瑕疵：6分；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12质量保障措施.docx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供应商提供针对本项目的应急预案，包括但不限于①大规模数据上传中断；②数据库宕机等应急情况提供详细的应急预案，能有效保障应对突发事件。 满足磋商文件要求，无瑕疵：6分；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13应急预案.docx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供应商提供针对本项目的建设团队配备，内容包括但不限于①团队组织架构②人员配备计划及职责划分③人员工作经验或专业能力证书（提供相关证明材料）等。 满足磋商文件要求，无瑕疵：10分；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14项目团队.docx</w:t>
            </w:r>
          </w:p>
        </w:tc>
      </w:tr>
      <w:tr>
        <w:tc>
          <w:tcPr>
            <w:tcW w:type="dxa" w:w="831"/>
            <w:vMerge/>
          </w:tcPr>
          <w:p/>
        </w:tc>
        <w:tc>
          <w:tcPr>
            <w:tcW w:type="dxa" w:w="1661"/>
          </w:tcPr>
          <w:p>
            <w:pPr>
              <w:pStyle w:val="null3"/>
            </w:pPr>
            <w:r>
              <w:rPr>
                <w:rFonts w:ascii="仿宋_GB2312" w:hAnsi="仿宋_GB2312" w:cs="仿宋_GB2312" w:eastAsia="仿宋_GB2312"/>
              </w:rPr>
              <w:t>智慧伴游系统运维服务方案</w:t>
            </w:r>
          </w:p>
        </w:tc>
        <w:tc>
          <w:tcPr>
            <w:tcW w:type="dxa" w:w="2492"/>
          </w:tcPr>
          <w:p>
            <w:pPr>
              <w:pStyle w:val="null3"/>
            </w:pPr>
            <w:r>
              <w:rPr>
                <w:rFonts w:ascii="仿宋_GB2312" w:hAnsi="仿宋_GB2312" w:cs="仿宋_GB2312" w:eastAsia="仿宋_GB2312"/>
              </w:rPr>
              <w:t>供应商提供针对本项目智慧伴游系统的运维服务方案，方案包括但不限于①运维范围；②运维服务理念及目标；③运维流程与标准；④应急响应承诺（明确响应时间）。 满足磋商文件要求，无瑕疵：10分；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15智慧伴游系统运维服务方案.docx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供应商应提供2022年1月1日至今类似项目合同（以合同签订日期为准），每提供1个得1分，最高得5分。 备注：响应文件中提供合同扫描件并加盖公章。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即满足磋商文件要求且价格最低的报价为磋商基准价，其价格分为满分。其他响应单位的价格分统一按照下列公式计算： 磋商报价得分=（评标基准价/磋商报价）×价格权值×100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详见附件：6项目理解与需求分析.docx</w:t>
      </w:r>
    </w:p>
    <w:p>
      <w:pPr>
        <w:pStyle w:val="null3"/>
        <w:ind w:firstLine="960"/>
      </w:pPr>
      <w:r>
        <w:rPr>
          <w:rFonts w:ascii="仿宋_GB2312" w:hAnsi="仿宋_GB2312" w:cs="仿宋_GB2312" w:eastAsia="仿宋_GB2312"/>
        </w:rPr>
        <w:t>详见附件：7客流数据维护提升方案.docx</w:t>
      </w:r>
    </w:p>
    <w:p>
      <w:pPr>
        <w:pStyle w:val="null3"/>
        <w:ind w:firstLine="960"/>
      </w:pPr>
      <w:r>
        <w:rPr>
          <w:rFonts w:ascii="仿宋_GB2312" w:hAnsi="仿宋_GB2312" w:cs="仿宋_GB2312" w:eastAsia="仿宋_GB2312"/>
        </w:rPr>
        <w:t>详见附件：8供货来源渠道.docx</w:t>
      </w:r>
    </w:p>
    <w:p>
      <w:pPr>
        <w:pStyle w:val="null3"/>
        <w:ind w:firstLine="960"/>
      </w:pPr>
      <w:r>
        <w:rPr>
          <w:rFonts w:ascii="仿宋_GB2312" w:hAnsi="仿宋_GB2312" w:cs="仿宋_GB2312" w:eastAsia="仿宋_GB2312"/>
        </w:rPr>
        <w:t>详见附件：9平台视频数据接入方案.docx</w:t>
      </w:r>
    </w:p>
    <w:p>
      <w:pPr>
        <w:pStyle w:val="null3"/>
        <w:ind w:firstLine="960"/>
      </w:pPr>
      <w:r>
        <w:rPr>
          <w:rFonts w:ascii="仿宋_GB2312" w:hAnsi="仿宋_GB2312" w:cs="仿宋_GB2312" w:eastAsia="仿宋_GB2312"/>
        </w:rPr>
        <w:t>详见附件：10智慧伴游系统应用提升方案.docx</w:t>
      </w:r>
    </w:p>
    <w:p>
      <w:pPr>
        <w:pStyle w:val="null3"/>
        <w:ind w:firstLine="960"/>
      </w:pPr>
      <w:r>
        <w:rPr>
          <w:rFonts w:ascii="仿宋_GB2312" w:hAnsi="仿宋_GB2312" w:cs="仿宋_GB2312" w:eastAsia="仿宋_GB2312"/>
        </w:rPr>
        <w:t>详见附件：11进度安排.docx</w:t>
      </w:r>
    </w:p>
    <w:p>
      <w:pPr>
        <w:pStyle w:val="null3"/>
        <w:ind w:firstLine="960"/>
      </w:pPr>
      <w:r>
        <w:rPr>
          <w:rFonts w:ascii="仿宋_GB2312" w:hAnsi="仿宋_GB2312" w:cs="仿宋_GB2312" w:eastAsia="仿宋_GB2312"/>
        </w:rPr>
        <w:t>详见附件：12质量保障措施.docx</w:t>
      </w:r>
    </w:p>
    <w:p>
      <w:pPr>
        <w:pStyle w:val="null3"/>
        <w:ind w:firstLine="960"/>
      </w:pPr>
      <w:r>
        <w:rPr>
          <w:rFonts w:ascii="仿宋_GB2312" w:hAnsi="仿宋_GB2312" w:cs="仿宋_GB2312" w:eastAsia="仿宋_GB2312"/>
        </w:rPr>
        <w:t>详见附件：13应急预案.docx</w:t>
      </w:r>
    </w:p>
    <w:p>
      <w:pPr>
        <w:pStyle w:val="null3"/>
        <w:ind w:firstLine="960"/>
      </w:pPr>
      <w:r>
        <w:rPr>
          <w:rFonts w:ascii="仿宋_GB2312" w:hAnsi="仿宋_GB2312" w:cs="仿宋_GB2312" w:eastAsia="仿宋_GB2312"/>
        </w:rPr>
        <w:t>详见附件：14项目团队.docx</w:t>
      </w:r>
    </w:p>
    <w:p>
      <w:pPr>
        <w:pStyle w:val="null3"/>
        <w:ind w:firstLine="960"/>
      </w:pPr>
      <w:r>
        <w:rPr>
          <w:rFonts w:ascii="仿宋_GB2312" w:hAnsi="仿宋_GB2312" w:cs="仿宋_GB2312" w:eastAsia="仿宋_GB2312"/>
        </w:rPr>
        <w:t>详见附件：15智慧伴游系统运维服务方案.docx</w:t>
      </w:r>
    </w:p>
    <w:p>
      <w:pPr>
        <w:pStyle w:val="null3"/>
        <w:ind w:firstLine="960"/>
      </w:pPr>
      <w:r>
        <w:rPr>
          <w:rFonts w:ascii="仿宋_GB2312" w:hAnsi="仿宋_GB2312" w:cs="仿宋_GB2312" w:eastAsia="仿宋_GB2312"/>
        </w:rPr>
        <w:t>详见附件：16业绩.docx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