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版本号：ZX2025-06-6020250923001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家属区FTTH及教学区宽带服务采购</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ZX2025-06-60</w:t>
      </w:r>
      <w:r>
        <w:br/>
      </w:r>
      <w:r>
        <w:br/>
      </w:r>
      <w:r>
        <w:br/>
      </w:r>
    </w:p>
    <w:p>
      <w:pPr>
        <w:pStyle w:val="null3"/>
        <w:jc w:val="center"/>
        <w:outlineLvl w:val="5"/>
      </w:pPr>
      <w:r>
        <w:rPr>
          <w:rFonts w:ascii="仿宋_GB2312" w:hAnsi="仿宋_GB2312" w:cs="仿宋_GB2312" w:eastAsia="仿宋_GB2312"/>
          <w:sz w:val="15"/>
          <w:b/>
        </w:rPr>
        <w:t>陕西科技大学</w:t>
      </w:r>
    </w:p>
    <w:p>
      <w:pPr>
        <w:pStyle w:val="null3"/>
        <w:jc w:val="center"/>
        <w:outlineLvl w:val="5"/>
      </w:pPr>
      <w:r>
        <w:rPr>
          <w:rFonts w:ascii="仿宋_GB2312" w:hAnsi="仿宋_GB2312" w:cs="仿宋_GB2312" w:eastAsia="仿宋_GB2312"/>
          <w:sz w:val="15"/>
          <w:b/>
        </w:rPr>
        <w:t>陕西正信招标有限公司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2025年09月23日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家属区FTTH及教学区宽带服务采购</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ZX2025-06-60</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家属区FTTH及教学区宽带服务采购</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家属区FTTH及教学区宽带服务采购，1项，具体内容详见采购文件。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法定代表人参加协商的，须提供身份证复印件；法定代表人授权他人参加协商的，须提供法定代表人授权委托书及被授权人身份证复印件。供应商需在项目电子化交易系统中按要求填写并进行电子签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王宇轩 蔡丹 曹婷 马演</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029-88411508/88411169转8033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采购包1：675,000.00元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采购包1：675,000.00元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采购包1保证金金额：10,660.00元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代理服务费收费标准：参照国家计委计价格[2002]1980号及发改办价格[2003]857号通知规定下浮35%收取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本项目为家属区FTTH及教学区宽带服务项目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675,000.00</w:t>
      </w:r>
    </w:p>
    <w:p>
      <w:pPr>
        <w:pStyle w:val="null3"/>
      </w:pPr>
      <w:r>
        <w:rPr>
          <w:rFonts w:ascii="仿宋_GB2312" w:hAnsi="仿宋_GB2312" w:cs="仿宋_GB2312" w:eastAsia="仿宋_GB2312"/>
        </w:rPr>
        <w:t>采购包最高限价（元）: 675,000.00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家属区FTTH及教学区宽带服务</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right"/>
            </w:pPr>
            <w:r>
              <w:rPr>
                <w:rFonts w:ascii="仿宋_GB2312" w:hAnsi="仿宋_GB2312" w:cs="仿宋_GB2312" w:eastAsia="仿宋_GB2312"/>
              </w:rPr>
              <w:t>675,000.00</w:t>
            </w:r>
          </w:p>
        </w:tc>
        <w:tc>
          <w:tcPr>
            <w:tcW w:type="dxa" w:w="831"/>
          </w:tcPr>
          <w:p>
            <w:pPr>
              <w:pStyle w:val="null3"/>
            </w:pPr>
            <w:r>
              <w:rPr>
                <w:rFonts w:ascii="仿宋_GB2312" w:hAnsi="仿宋_GB2312" w:cs="仿宋_GB2312" w:eastAsia="仿宋_GB2312"/>
              </w:rPr>
              <w:t>月</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标的名称：家属区FTTH及教学区宽带服务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37"/>
              <w:gridCol w:w="194"/>
              <w:gridCol w:w="2022"/>
            </w:tblGrid>
            <w:tr>
              <w:tc>
                <w:tcPr>
                  <w:tcW w:type="dxa" w:w="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0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采购内容</w:t>
                  </w:r>
                  <w:r>
                    <w:rPr>
                      <w:rFonts w:ascii="仿宋_GB2312" w:hAnsi="仿宋_GB2312" w:cs="仿宋_GB2312" w:eastAsia="仿宋_GB2312"/>
                      <w:sz w:val="20"/>
                    </w:rPr>
                    <w:t>:本次采购家属区FTTH共计1500户，每户独享不低于100Mbps，教学区独立出口带宽1Gbps。FTTH用户所有线路及光猫由供应商统一提供，学校不额外支付费用。本次项目服务周期为2025年11月1日至2026年7月31日，每年支付一次费用。本次项目的主要技术指标及相关服务求如下：</w:t>
                  </w:r>
                </w:p>
                <w:p>
                  <w:pPr>
                    <w:pStyle w:val="null3"/>
                    <w:jc w:val="left"/>
                  </w:pPr>
                  <w:r>
                    <w:rPr>
                      <w:rFonts w:ascii="仿宋_GB2312" w:hAnsi="仿宋_GB2312" w:cs="仿宋_GB2312" w:eastAsia="仿宋_GB2312"/>
                      <w:sz w:val="20"/>
                    </w:rPr>
                    <w:t>1、供应商提供1GE通道，所提供的带宽利用率不低于95%，接入地点需由本地局端至陕西科技大学教学楼中心机房，带宽附带IPV4接入地址不少于64个。为保障学校各业务系统使用，不得变更专线业务IP地址。</w:t>
                  </w:r>
                </w:p>
                <w:p>
                  <w:pPr>
                    <w:pStyle w:val="null3"/>
                    <w:jc w:val="left"/>
                  </w:pPr>
                  <w:r>
                    <w:rPr>
                      <w:rFonts w:ascii="仿宋_GB2312" w:hAnsi="仿宋_GB2312" w:cs="仿宋_GB2312" w:eastAsia="仿宋_GB2312"/>
                      <w:sz w:val="20"/>
                    </w:rPr>
                    <w:t>2、链路质量：所提供的出口链路衰减值不能低于-15DB，链路长度不超过10km。</w:t>
                  </w:r>
                </w:p>
                <w:p>
                  <w:pPr>
                    <w:pStyle w:val="null3"/>
                    <w:jc w:val="left"/>
                  </w:pPr>
                  <w:r>
                    <w:rPr>
                      <w:rFonts w:ascii="仿宋_GB2312" w:hAnsi="仿宋_GB2312" w:cs="仿宋_GB2312" w:eastAsia="仿宋_GB2312"/>
                      <w:sz w:val="20"/>
                    </w:rPr>
                    <w:t>3、供应商应向采购人提供7×24小时的故障处理服务，故障原则上由供应商维护人员进行处理。发生故障时，供应商应在30分钟内作出响应，2小时到达现场处置，4小时恢复故障。</w:t>
                  </w:r>
                </w:p>
                <w:p>
                  <w:pPr>
                    <w:pStyle w:val="null3"/>
                    <w:jc w:val="left"/>
                  </w:pPr>
                  <w:r>
                    <w:rPr>
                      <w:rFonts w:ascii="仿宋_GB2312" w:hAnsi="仿宋_GB2312" w:cs="仿宋_GB2312" w:eastAsia="仿宋_GB2312"/>
                      <w:sz w:val="20"/>
                    </w:rPr>
                    <w:t>4、由供应商负责完成家属区用户入户FTTH改造相关工程，包含一级分光、二级分光、光缆布放、皮线入户及光猫安装调试等工作，学校只支付服务费，链路及初次安装光猫均由供应商提供，且不在本次采购预算内。</w:t>
                  </w:r>
                </w:p>
                <w:p>
                  <w:pPr>
                    <w:pStyle w:val="null3"/>
                    <w:jc w:val="left"/>
                  </w:pPr>
                  <w:r>
                    <w:rPr>
                      <w:rFonts w:ascii="仿宋_GB2312" w:hAnsi="仿宋_GB2312" w:cs="仿宋_GB2312" w:eastAsia="仿宋_GB2312"/>
                      <w:sz w:val="20"/>
                    </w:rPr>
                    <w:t>5、家属区接入用户的服务由供应商安排专职人员维护，专职人员不少于1人。</w:t>
                  </w:r>
                </w:p>
                <w:p>
                  <w:pPr>
                    <w:pStyle w:val="null3"/>
                    <w:jc w:val="left"/>
                  </w:pPr>
                  <w:r>
                    <w:rPr>
                      <w:rFonts w:ascii="仿宋_GB2312" w:hAnsi="仿宋_GB2312" w:cs="仿宋_GB2312" w:eastAsia="仿宋_GB2312"/>
                      <w:sz w:val="20"/>
                    </w:rPr>
                    <w:t>6、供应商为学校家属区用户提供互联网接入服务，接入带宽不低于100Mbps每户独享，后期带宽使用按照市场原则，如国家政策、市场资费等下降时，应按照市场资费标准对学校用户提提供提速降费操作。</w:t>
                  </w:r>
                </w:p>
                <w:p>
                  <w:pPr>
                    <w:pStyle w:val="null3"/>
                    <w:jc w:val="both"/>
                  </w:pPr>
                  <w:r>
                    <w:rPr>
                      <w:rFonts w:ascii="仿宋_GB2312" w:hAnsi="仿宋_GB2312" w:cs="仿宋_GB2312" w:eastAsia="仿宋_GB2312"/>
                      <w:sz w:val="20"/>
                    </w:rPr>
                    <w:t>7、供应商须确保业务开通的时效性，实现无缝割接，保证学校网络在此过程中不得中断，期间涉及任何问题由供应商自行协调。</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2025年11月1日至2026年7月31日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陕西科技大学（西安校区）</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合同签订后14个日历日内，支付合同总价的100%</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根据协商文件、响应文件、合同约定执行。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根据协商文件、响应文件、合同约定执行。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响应文件，同时，线下提交纸质响应文件正本壹份、副本贰份；若电子响应文件与纸质响应文件不一致的，以电子响应文件为准；响应文件正、副本分别各自装订成册密封（在书脊处标明项目名称、供应商名称（机打或手写均可），逐页标注连页码），在封口处加盖供应商公章；纸质响应文件递交截止时间与线上开评标时间一致；纸质响应文件可邮寄递交，应于递交响应文件截止时间前邮寄到代理机构，线下递交文件地点：西安市莲湖区环城西路南段元晟合中心6层。2、协商保证金注意事项：（1）协商保证金须从供应商户名支付，如从个人户名或非供应商户名支付，将被拒绝，视为自动放弃投标权利（该个人是供应商的情形除外）；以保函形式交纳协商保证金的，供应商应在响应截止时间前将保函扫描成清晰的PDF文件，发送至邮箱2559647209@qq.com（邮件命名：项目编号），并将保函原件单独递交至代理机构财务；供应商应在协商文件中附保函复印件。保函必须由具有开具投标保函资格的单位开具；若供应商违约，开具保函单位承担连带责任；（2）协商保证金的提交金额、时间不满足协商文件要求的，投标无效；（3）协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9月1日以来至少一个月的纳税证明或完税证明，纳税证明或完税证明上应有代收机构或税务机关的公章或业务专用章；其他组织和自然人提供自2024年9月1日以来至少一个月缴纳税收的凭据；依法免税的或者依法不需缴税的供应商应提供相关文件证明； ③社会保障资金缴纳证明：提供自2024年9月1日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2资格证明文件.docx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2024年度审计报告（成立时间至提交投标文件截止时间不足一年的可提供成立后任意时段的资产负债表），或提交自2025年3月1日以来银行出具的资信证明，或信用担保机构出具的投标担保函（以上三种形式的资料提供任何一种即可）；其他组织和自然人提供银行出具的资信证明或财务报表。 提供“陕西省政府采购供应商信用承诺书”的，可不再提供其他证明文件。 2.供应商需在项目电子化交易系统中按要求上传相应证明文件并进行电子签章。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法定代表人参加协商的，须提供身份证复印件；法定代表人授权他人参加协商的，须提供法定代表人授权委托书及被授权人身份证复印件。供应商需在项目电子化交易系统中按要求填写并进行电子签章。</w:t>
            </w:r>
          </w:p>
        </w:tc>
        <w:tc>
          <w:tcPr>
            <w:tcW w:type="dxa" w:w="1661"/>
          </w:tcPr>
          <w:p>
            <w:pPr>
              <w:pStyle w:val="null3"/>
            </w:pPr>
            <w:r>
              <w:rPr>
                <w:rFonts w:ascii="仿宋_GB2312" w:hAnsi="仿宋_GB2312" w:cs="仿宋_GB2312" w:eastAsia="仿宋_GB2312"/>
              </w:rPr>
              <w:t>2资格证明文件.docx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满足本单一来源采购文件中第三章中3.3商务要求中的“服务期限、服务地点、支付约定”的实质性条款要求</w:t>
            </w:r>
          </w:p>
        </w:tc>
        <w:tc>
          <w:tcPr>
            <w:tcW w:type="dxa" w:w="1661"/>
          </w:tcPr>
          <w:p>
            <w:pPr>
              <w:pStyle w:val="null3"/>
            </w:pPr>
            <w:r>
              <w:rPr>
                <w:rFonts w:ascii="仿宋_GB2312" w:hAnsi="仿宋_GB2312" w:cs="仿宋_GB2312" w:eastAsia="仿宋_GB2312"/>
              </w:rPr>
              <w:t>3商务部分偏离表.docx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1分项价格表.docx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不属于法律、法规和协商文件规定的其他无效情形</w:t>
            </w:r>
          </w:p>
        </w:tc>
        <w:tc>
          <w:tcPr>
            <w:tcW w:type="dxa" w:w="1661"/>
          </w:tcPr>
          <w:p>
            <w:pPr>
              <w:pStyle w:val="null3"/>
            </w:pPr>
            <w:r>
              <w:rPr>
                <w:rFonts w:ascii="仿宋_GB2312" w:hAnsi="仿宋_GB2312" w:cs="仿宋_GB2312" w:eastAsia="仿宋_GB2312"/>
              </w:rPr>
              <w:t>10供应商认为需提供的其他资料.docx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供应商响应报价未超过采购文件中规定的最高限价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按照采购文件规定要求签署、盖章的</w:t>
            </w:r>
          </w:p>
        </w:tc>
        <w:tc>
          <w:tcPr>
            <w:tcW w:type="dxa" w:w="1661"/>
          </w:tcPr>
          <w:p>
            <w:pPr>
              <w:pStyle w:val="null3"/>
            </w:pPr>
            <w:r>
              <w:rPr>
                <w:rFonts w:ascii="仿宋_GB2312" w:hAnsi="仿宋_GB2312" w:cs="仿宋_GB2312" w:eastAsia="仿宋_GB2312"/>
              </w:rPr>
              <w:t>5服务响应与偏离表.docx 13采购标的成本说明.docx 4承诺书.docx 中小企业声明函 7服务方案.docx 12同类项目合同价格说明.docx 响应文件封面 9供应商服务承诺.docx 6供应商基本情况表.docx 残疾人福利性单位声明函 服务方案 11供应商相关专利、专有技术情况说明.docx 8组织机构.docx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详见附件：3商务部分偏离表.docx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详见附件：5服务响应与偏离表.docx</w:t>
      </w:r>
    </w:p>
    <w:p>
      <w:pPr>
        <w:pStyle w:val="null3"/>
        <w:ind w:firstLine="960"/>
      </w:pPr>
      <w:r>
        <w:rPr>
          <w:rFonts w:ascii="仿宋_GB2312" w:hAnsi="仿宋_GB2312" w:cs="仿宋_GB2312" w:eastAsia="仿宋_GB2312"/>
        </w:rPr>
        <w:t>详见附件：6供应商基本情况表.docx</w:t>
      </w:r>
    </w:p>
    <w:p>
      <w:pPr>
        <w:pStyle w:val="null3"/>
        <w:ind w:firstLine="960"/>
      </w:pPr>
      <w:r>
        <w:rPr>
          <w:rFonts w:ascii="仿宋_GB2312" w:hAnsi="仿宋_GB2312" w:cs="仿宋_GB2312" w:eastAsia="仿宋_GB2312"/>
        </w:rPr>
        <w:t>详见附件：7服务方案.docx</w:t>
      </w:r>
    </w:p>
    <w:p>
      <w:pPr>
        <w:pStyle w:val="null3"/>
        <w:ind w:firstLine="960"/>
      </w:pPr>
      <w:r>
        <w:rPr>
          <w:rFonts w:ascii="仿宋_GB2312" w:hAnsi="仿宋_GB2312" w:cs="仿宋_GB2312" w:eastAsia="仿宋_GB2312"/>
        </w:rPr>
        <w:t>详见附件：8组织机构.docx</w:t>
      </w:r>
    </w:p>
    <w:p>
      <w:pPr>
        <w:pStyle w:val="null3"/>
        <w:ind w:firstLine="960"/>
      </w:pPr>
      <w:r>
        <w:rPr>
          <w:rFonts w:ascii="仿宋_GB2312" w:hAnsi="仿宋_GB2312" w:cs="仿宋_GB2312" w:eastAsia="仿宋_GB2312"/>
        </w:rPr>
        <w:t>详见附件：9供应商服务承诺.docx</w:t>
      </w:r>
    </w:p>
    <w:p>
      <w:pPr>
        <w:pStyle w:val="null3"/>
        <w:ind w:firstLine="960"/>
      </w:pPr>
      <w:r>
        <w:rPr>
          <w:rFonts w:ascii="仿宋_GB2312" w:hAnsi="仿宋_GB2312" w:cs="仿宋_GB2312" w:eastAsia="仿宋_GB2312"/>
        </w:rPr>
        <w:t>详见附件：10供应商认为需提供的其他资料.docx</w:t>
      </w:r>
    </w:p>
    <w:p>
      <w:pPr>
        <w:pStyle w:val="null3"/>
        <w:ind w:firstLine="960"/>
      </w:pPr>
      <w:r>
        <w:rPr>
          <w:rFonts w:ascii="仿宋_GB2312" w:hAnsi="仿宋_GB2312" w:cs="仿宋_GB2312" w:eastAsia="仿宋_GB2312"/>
        </w:rPr>
        <w:t>详见附件：11供应商相关专利、专有技术情况说明.docx</w:t>
      </w:r>
    </w:p>
    <w:p>
      <w:pPr>
        <w:pStyle w:val="null3"/>
        <w:ind w:firstLine="960"/>
      </w:pPr>
      <w:r>
        <w:rPr>
          <w:rFonts w:ascii="仿宋_GB2312" w:hAnsi="仿宋_GB2312" w:cs="仿宋_GB2312" w:eastAsia="仿宋_GB2312"/>
        </w:rPr>
        <w:t>详见附件：12同类项目合同价格说明.docx</w:t>
      </w:r>
    </w:p>
    <w:p>
      <w:pPr>
        <w:pStyle w:val="null3"/>
        <w:ind w:firstLine="960"/>
      </w:pPr>
      <w:r>
        <w:rPr>
          <w:rFonts w:ascii="仿宋_GB2312" w:hAnsi="仿宋_GB2312" w:cs="仿宋_GB2312" w:eastAsia="仿宋_GB2312"/>
        </w:rPr>
        <w:t>详见附件：13采购标的成本说明.docx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详见附件：合同草案条款.docx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