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057D6">
      <w:pPr>
        <w:kinsoku w:val="0"/>
        <w:spacing w:line="360" w:lineRule="auto"/>
        <w:jc w:val="center"/>
        <w:rPr>
          <w:rFonts w:hint="eastAsia" w:ascii="仿宋" w:hAnsi="仿宋" w:eastAsia="仿宋" w:cs="仿宋"/>
          <w:sz w:val="32"/>
          <w:szCs w:val="32"/>
        </w:rPr>
      </w:pPr>
      <w:r>
        <w:rPr>
          <w:rFonts w:hint="eastAsia" w:ascii="仿宋" w:hAnsi="仿宋" w:eastAsia="仿宋" w:cs="仿宋"/>
          <w:sz w:val="32"/>
          <w:szCs w:val="32"/>
          <w:u w:val="single"/>
        </w:rPr>
        <w:t>铁路轨道检查系统</w:t>
      </w:r>
      <w:r>
        <w:rPr>
          <w:rFonts w:hint="eastAsia" w:ascii="仿宋" w:hAnsi="仿宋" w:eastAsia="仿宋" w:cs="仿宋"/>
          <w:sz w:val="32"/>
          <w:szCs w:val="32"/>
        </w:rPr>
        <w:t>项目采购合同</w:t>
      </w:r>
    </w:p>
    <w:p w14:paraId="28DA6CE3">
      <w:pPr>
        <w:kinsoku w:val="0"/>
        <w:spacing w:line="360" w:lineRule="auto"/>
        <w:ind w:firstLine="600" w:firstLineChars="250"/>
        <w:rPr>
          <w:rFonts w:hint="eastAsia" w:ascii="仿宋" w:hAnsi="仿宋" w:eastAsia="仿宋" w:cs="仿宋"/>
          <w:sz w:val="24"/>
        </w:rPr>
      </w:pPr>
    </w:p>
    <w:p w14:paraId="6C61201D">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甲方：陕西铁路工程职业技术学院</w:t>
      </w:r>
    </w:p>
    <w:p w14:paraId="445913C7">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 xml:space="preserve">乙方： </w:t>
      </w:r>
    </w:p>
    <w:p w14:paraId="4EAB14C6">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根据《中华人民共和国政府采购法》、《中华人民共和国民法典》、《中华人民共和国政府采购法实施条例》等法律法规，甲方通过公开招标，选定乙方为成交单位。甲、乙双方在平等基础上协商一致，达成如下合同条款:</w:t>
      </w:r>
    </w:p>
    <w:p w14:paraId="0A3E7643">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一、</w:t>
      </w:r>
      <w:r>
        <w:rPr>
          <w:rFonts w:hint="eastAsia" w:ascii="仿宋" w:hAnsi="仿宋" w:eastAsia="仿宋" w:cs="仿宋"/>
          <w:b/>
          <w:sz w:val="24"/>
        </w:rPr>
        <w:t>合同内容    项目编号/包号：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296C7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vAlign w:val="center"/>
          </w:tcPr>
          <w:p w14:paraId="1C3D5A65">
            <w:pPr>
              <w:spacing w:line="360" w:lineRule="auto"/>
              <w:jc w:val="center"/>
              <w:rPr>
                <w:rFonts w:hint="eastAsia" w:ascii="仿宋" w:hAnsi="仿宋" w:eastAsia="仿宋" w:cs="仿宋"/>
                <w:b/>
                <w:sz w:val="24"/>
              </w:rPr>
            </w:pPr>
            <w:r>
              <w:rPr>
                <w:rFonts w:hint="eastAsia" w:ascii="仿宋" w:hAnsi="仿宋" w:eastAsia="仿宋" w:cs="仿宋"/>
                <w:b/>
                <w:sz w:val="24"/>
              </w:rPr>
              <w:t>序号</w:t>
            </w:r>
          </w:p>
        </w:tc>
        <w:tc>
          <w:tcPr>
            <w:tcW w:w="1620" w:type="dxa"/>
            <w:vAlign w:val="center"/>
          </w:tcPr>
          <w:p w14:paraId="4402A2A3">
            <w:pPr>
              <w:spacing w:line="360" w:lineRule="auto"/>
              <w:jc w:val="center"/>
              <w:rPr>
                <w:rFonts w:hint="eastAsia" w:ascii="仿宋" w:hAnsi="仿宋" w:eastAsia="仿宋" w:cs="仿宋"/>
                <w:b/>
                <w:sz w:val="24"/>
              </w:rPr>
            </w:pPr>
            <w:r>
              <w:rPr>
                <w:rFonts w:hint="eastAsia" w:ascii="仿宋" w:hAnsi="仿宋" w:eastAsia="仿宋" w:cs="仿宋"/>
                <w:b/>
                <w:sz w:val="24"/>
              </w:rPr>
              <w:t>产品名称</w:t>
            </w:r>
          </w:p>
        </w:tc>
        <w:tc>
          <w:tcPr>
            <w:tcW w:w="1260" w:type="dxa"/>
            <w:vAlign w:val="center"/>
          </w:tcPr>
          <w:p w14:paraId="1D7D0657">
            <w:pPr>
              <w:spacing w:line="360" w:lineRule="auto"/>
              <w:jc w:val="center"/>
              <w:rPr>
                <w:rFonts w:hint="eastAsia" w:ascii="仿宋" w:hAnsi="仿宋" w:eastAsia="仿宋" w:cs="仿宋"/>
                <w:b/>
                <w:sz w:val="24"/>
              </w:rPr>
            </w:pPr>
            <w:r>
              <w:rPr>
                <w:rFonts w:hint="eastAsia" w:ascii="仿宋" w:hAnsi="仿宋" w:eastAsia="仿宋" w:cs="仿宋"/>
                <w:b/>
                <w:sz w:val="24"/>
              </w:rPr>
              <w:t>型号</w:t>
            </w:r>
          </w:p>
        </w:tc>
        <w:tc>
          <w:tcPr>
            <w:tcW w:w="900" w:type="dxa"/>
            <w:vAlign w:val="center"/>
          </w:tcPr>
          <w:p w14:paraId="1CDFC83B">
            <w:pPr>
              <w:spacing w:line="360" w:lineRule="auto"/>
              <w:jc w:val="center"/>
              <w:rPr>
                <w:rFonts w:hint="eastAsia" w:ascii="仿宋" w:hAnsi="仿宋" w:eastAsia="仿宋" w:cs="仿宋"/>
                <w:b/>
                <w:sz w:val="24"/>
              </w:rPr>
            </w:pPr>
            <w:r>
              <w:rPr>
                <w:rFonts w:hint="eastAsia" w:ascii="仿宋" w:hAnsi="仿宋" w:eastAsia="仿宋" w:cs="仿宋"/>
                <w:b/>
                <w:sz w:val="24"/>
              </w:rPr>
              <w:t>产地</w:t>
            </w:r>
          </w:p>
        </w:tc>
        <w:tc>
          <w:tcPr>
            <w:tcW w:w="900" w:type="dxa"/>
            <w:vAlign w:val="center"/>
          </w:tcPr>
          <w:p w14:paraId="584DA514">
            <w:pPr>
              <w:spacing w:line="360" w:lineRule="auto"/>
              <w:jc w:val="center"/>
              <w:rPr>
                <w:rFonts w:hint="eastAsia" w:ascii="仿宋" w:hAnsi="仿宋" w:eastAsia="仿宋" w:cs="仿宋"/>
                <w:b/>
                <w:sz w:val="24"/>
              </w:rPr>
            </w:pPr>
            <w:r>
              <w:rPr>
                <w:rFonts w:hint="eastAsia" w:ascii="仿宋" w:hAnsi="仿宋" w:eastAsia="仿宋" w:cs="仿宋"/>
                <w:b/>
                <w:sz w:val="24"/>
              </w:rPr>
              <w:t>数量</w:t>
            </w:r>
          </w:p>
        </w:tc>
        <w:tc>
          <w:tcPr>
            <w:tcW w:w="900" w:type="dxa"/>
            <w:vAlign w:val="center"/>
          </w:tcPr>
          <w:p w14:paraId="4939D46E">
            <w:pPr>
              <w:spacing w:line="360" w:lineRule="auto"/>
              <w:jc w:val="center"/>
              <w:rPr>
                <w:rFonts w:hint="eastAsia" w:ascii="仿宋" w:hAnsi="仿宋" w:eastAsia="仿宋" w:cs="仿宋"/>
                <w:b/>
                <w:sz w:val="24"/>
              </w:rPr>
            </w:pPr>
            <w:r>
              <w:rPr>
                <w:rFonts w:hint="eastAsia" w:ascii="仿宋" w:hAnsi="仿宋" w:eastAsia="仿宋" w:cs="仿宋"/>
                <w:b/>
                <w:sz w:val="24"/>
              </w:rPr>
              <w:t>单价</w:t>
            </w:r>
          </w:p>
        </w:tc>
        <w:tc>
          <w:tcPr>
            <w:tcW w:w="894" w:type="dxa"/>
            <w:vAlign w:val="center"/>
          </w:tcPr>
          <w:p w14:paraId="22A9B826">
            <w:pPr>
              <w:spacing w:line="360" w:lineRule="auto"/>
              <w:jc w:val="center"/>
              <w:rPr>
                <w:rFonts w:hint="eastAsia" w:ascii="仿宋" w:hAnsi="仿宋" w:eastAsia="仿宋" w:cs="仿宋"/>
                <w:b/>
                <w:sz w:val="24"/>
              </w:rPr>
            </w:pPr>
            <w:r>
              <w:rPr>
                <w:rFonts w:hint="eastAsia" w:ascii="仿宋" w:hAnsi="仿宋" w:eastAsia="仿宋" w:cs="仿宋"/>
                <w:b/>
                <w:sz w:val="24"/>
              </w:rPr>
              <w:t>总价</w:t>
            </w:r>
          </w:p>
        </w:tc>
        <w:tc>
          <w:tcPr>
            <w:tcW w:w="839" w:type="dxa"/>
            <w:vAlign w:val="center"/>
          </w:tcPr>
          <w:p w14:paraId="2DD090D6">
            <w:pPr>
              <w:spacing w:line="360" w:lineRule="auto"/>
              <w:jc w:val="center"/>
              <w:rPr>
                <w:rFonts w:hint="eastAsia" w:ascii="仿宋" w:hAnsi="仿宋" w:eastAsia="仿宋" w:cs="仿宋"/>
                <w:b/>
                <w:sz w:val="24"/>
              </w:rPr>
            </w:pPr>
            <w:r>
              <w:rPr>
                <w:rFonts w:hint="eastAsia" w:ascii="仿宋" w:hAnsi="仿宋" w:eastAsia="仿宋" w:cs="仿宋"/>
                <w:b/>
                <w:sz w:val="24"/>
              </w:rPr>
              <w:t>备注</w:t>
            </w:r>
          </w:p>
        </w:tc>
      </w:tr>
      <w:tr w14:paraId="779A0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4DBDE62B">
            <w:pPr>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rPr>
              <w:t>1</w:t>
            </w:r>
          </w:p>
        </w:tc>
        <w:tc>
          <w:tcPr>
            <w:tcW w:w="1620" w:type="dxa"/>
            <w:vAlign w:val="center"/>
          </w:tcPr>
          <w:p w14:paraId="459D892E">
            <w:pPr>
              <w:adjustRightInd w:val="0"/>
              <w:snapToGrid w:val="0"/>
              <w:spacing w:line="360" w:lineRule="auto"/>
              <w:jc w:val="center"/>
              <w:rPr>
                <w:rFonts w:hint="eastAsia" w:ascii="仿宋" w:hAnsi="仿宋" w:eastAsia="仿宋" w:cs="仿宋"/>
                <w:sz w:val="24"/>
              </w:rPr>
            </w:pPr>
          </w:p>
        </w:tc>
        <w:tc>
          <w:tcPr>
            <w:tcW w:w="1260" w:type="dxa"/>
            <w:vAlign w:val="center"/>
          </w:tcPr>
          <w:p w14:paraId="24DAED3B">
            <w:pPr>
              <w:spacing w:line="360" w:lineRule="auto"/>
              <w:jc w:val="center"/>
              <w:rPr>
                <w:rFonts w:hint="eastAsia" w:ascii="仿宋" w:hAnsi="仿宋" w:eastAsia="仿宋" w:cs="仿宋"/>
                <w:sz w:val="24"/>
              </w:rPr>
            </w:pPr>
          </w:p>
        </w:tc>
        <w:tc>
          <w:tcPr>
            <w:tcW w:w="900" w:type="dxa"/>
            <w:vAlign w:val="center"/>
          </w:tcPr>
          <w:p w14:paraId="1AAAC120">
            <w:pPr>
              <w:spacing w:line="360" w:lineRule="auto"/>
              <w:jc w:val="center"/>
              <w:rPr>
                <w:rFonts w:hint="eastAsia" w:ascii="仿宋" w:hAnsi="仿宋" w:eastAsia="仿宋" w:cs="仿宋"/>
                <w:sz w:val="24"/>
              </w:rPr>
            </w:pPr>
          </w:p>
        </w:tc>
        <w:tc>
          <w:tcPr>
            <w:tcW w:w="900" w:type="dxa"/>
            <w:vAlign w:val="center"/>
          </w:tcPr>
          <w:p w14:paraId="018FED15">
            <w:pPr>
              <w:adjustRightInd w:val="0"/>
              <w:snapToGrid w:val="0"/>
              <w:spacing w:line="360" w:lineRule="auto"/>
              <w:jc w:val="center"/>
              <w:rPr>
                <w:rFonts w:hint="eastAsia" w:ascii="仿宋" w:hAnsi="仿宋" w:eastAsia="仿宋" w:cs="仿宋"/>
                <w:sz w:val="24"/>
              </w:rPr>
            </w:pPr>
          </w:p>
        </w:tc>
        <w:tc>
          <w:tcPr>
            <w:tcW w:w="900" w:type="dxa"/>
            <w:vAlign w:val="center"/>
          </w:tcPr>
          <w:p w14:paraId="1E163E88">
            <w:pPr>
              <w:autoSpaceDN w:val="0"/>
              <w:spacing w:line="360" w:lineRule="auto"/>
              <w:jc w:val="center"/>
              <w:textAlignment w:val="center"/>
              <w:rPr>
                <w:rFonts w:hint="eastAsia" w:ascii="仿宋" w:hAnsi="仿宋" w:eastAsia="仿宋" w:cs="仿宋"/>
                <w:sz w:val="24"/>
              </w:rPr>
            </w:pPr>
          </w:p>
        </w:tc>
        <w:tc>
          <w:tcPr>
            <w:tcW w:w="894" w:type="dxa"/>
            <w:vAlign w:val="center"/>
          </w:tcPr>
          <w:p w14:paraId="176ADBBC">
            <w:pPr>
              <w:autoSpaceDN w:val="0"/>
              <w:spacing w:line="360" w:lineRule="auto"/>
              <w:jc w:val="center"/>
              <w:textAlignment w:val="center"/>
              <w:rPr>
                <w:rFonts w:hint="eastAsia" w:ascii="仿宋" w:hAnsi="仿宋" w:eastAsia="仿宋" w:cs="仿宋"/>
                <w:sz w:val="24"/>
              </w:rPr>
            </w:pPr>
          </w:p>
        </w:tc>
        <w:tc>
          <w:tcPr>
            <w:tcW w:w="839" w:type="dxa"/>
            <w:vAlign w:val="center"/>
          </w:tcPr>
          <w:p w14:paraId="2E5D5382">
            <w:pPr>
              <w:autoSpaceDN w:val="0"/>
              <w:spacing w:line="360" w:lineRule="auto"/>
              <w:jc w:val="center"/>
              <w:textAlignment w:val="center"/>
              <w:rPr>
                <w:rFonts w:hint="eastAsia" w:ascii="仿宋" w:hAnsi="仿宋" w:eastAsia="仿宋" w:cs="仿宋"/>
                <w:sz w:val="24"/>
              </w:rPr>
            </w:pPr>
          </w:p>
        </w:tc>
      </w:tr>
      <w:tr w14:paraId="0B814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6F5B7569">
            <w:pPr>
              <w:adjustRightInd w:val="0"/>
              <w:snapToGrid w:val="0"/>
              <w:spacing w:line="360" w:lineRule="auto"/>
              <w:jc w:val="center"/>
              <w:rPr>
                <w:rFonts w:hint="eastAsia" w:ascii="仿宋" w:hAnsi="仿宋" w:eastAsia="仿宋" w:cs="仿宋"/>
                <w:sz w:val="24"/>
              </w:rPr>
            </w:pPr>
          </w:p>
        </w:tc>
        <w:tc>
          <w:tcPr>
            <w:tcW w:w="1620" w:type="dxa"/>
            <w:vAlign w:val="center"/>
          </w:tcPr>
          <w:p w14:paraId="2927F6DA">
            <w:pPr>
              <w:adjustRightInd w:val="0"/>
              <w:snapToGrid w:val="0"/>
              <w:spacing w:line="360" w:lineRule="auto"/>
              <w:jc w:val="center"/>
              <w:rPr>
                <w:rFonts w:hint="eastAsia" w:ascii="仿宋" w:hAnsi="仿宋" w:eastAsia="仿宋" w:cs="仿宋"/>
                <w:sz w:val="24"/>
              </w:rPr>
            </w:pPr>
          </w:p>
        </w:tc>
        <w:tc>
          <w:tcPr>
            <w:tcW w:w="1260" w:type="dxa"/>
            <w:vAlign w:val="center"/>
          </w:tcPr>
          <w:p w14:paraId="2175434D">
            <w:pPr>
              <w:spacing w:line="360" w:lineRule="auto"/>
              <w:jc w:val="center"/>
              <w:rPr>
                <w:rFonts w:hint="eastAsia" w:ascii="仿宋" w:hAnsi="仿宋" w:eastAsia="仿宋" w:cs="仿宋"/>
                <w:sz w:val="24"/>
              </w:rPr>
            </w:pPr>
          </w:p>
        </w:tc>
        <w:tc>
          <w:tcPr>
            <w:tcW w:w="900" w:type="dxa"/>
            <w:vAlign w:val="center"/>
          </w:tcPr>
          <w:p w14:paraId="5BB53092">
            <w:pPr>
              <w:spacing w:line="360" w:lineRule="auto"/>
              <w:jc w:val="center"/>
              <w:rPr>
                <w:rFonts w:hint="eastAsia" w:ascii="仿宋" w:hAnsi="仿宋" w:eastAsia="仿宋" w:cs="仿宋"/>
                <w:sz w:val="24"/>
              </w:rPr>
            </w:pPr>
          </w:p>
        </w:tc>
        <w:tc>
          <w:tcPr>
            <w:tcW w:w="900" w:type="dxa"/>
            <w:vAlign w:val="center"/>
          </w:tcPr>
          <w:p w14:paraId="6D6C8A1C">
            <w:pPr>
              <w:adjustRightInd w:val="0"/>
              <w:snapToGrid w:val="0"/>
              <w:spacing w:line="360" w:lineRule="auto"/>
              <w:jc w:val="center"/>
              <w:rPr>
                <w:rFonts w:hint="eastAsia" w:ascii="仿宋" w:hAnsi="仿宋" w:eastAsia="仿宋" w:cs="仿宋"/>
                <w:sz w:val="24"/>
              </w:rPr>
            </w:pPr>
          </w:p>
        </w:tc>
        <w:tc>
          <w:tcPr>
            <w:tcW w:w="900" w:type="dxa"/>
            <w:vAlign w:val="center"/>
          </w:tcPr>
          <w:p w14:paraId="4057CE78">
            <w:pPr>
              <w:autoSpaceDN w:val="0"/>
              <w:spacing w:line="360" w:lineRule="auto"/>
              <w:jc w:val="center"/>
              <w:textAlignment w:val="center"/>
              <w:rPr>
                <w:rFonts w:hint="eastAsia" w:ascii="仿宋" w:hAnsi="仿宋" w:eastAsia="仿宋" w:cs="仿宋"/>
                <w:sz w:val="24"/>
              </w:rPr>
            </w:pPr>
          </w:p>
        </w:tc>
        <w:tc>
          <w:tcPr>
            <w:tcW w:w="894" w:type="dxa"/>
            <w:vAlign w:val="center"/>
          </w:tcPr>
          <w:p w14:paraId="728212A7">
            <w:pPr>
              <w:autoSpaceDN w:val="0"/>
              <w:spacing w:line="360" w:lineRule="auto"/>
              <w:jc w:val="center"/>
              <w:textAlignment w:val="center"/>
              <w:rPr>
                <w:rFonts w:hint="eastAsia" w:ascii="仿宋" w:hAnsi="仿宋" w:eastAsia="仿宋" w:cs="仿宋"/>
                <w:sz w:val="24"/>
              </w:rPr>
            </w:pPr>
          </w:p>
        </w:tc>
        <w:tc>
          <w:tcPr>
            <w:tcW w:w="839" w:type="dxa"/>
            <w:vAlign w:val="center"/>
          </w:tcPr>
          <w:p w14:paraId="6FE61B22">
            <w:pPr>
              <w:autoSpaceDN w:val="0"/>
              <w:spacing w:line="360" w:lineRule="auto"/>
              <w:jc w:val="center"/>
              <w:textAlignment w:val="center"/>
              <w:rPr>
                <w:rFonts w:hint="eastAsia" w:ascii="仿宋" w:hAnsi="仿宋" w:eastAsia="仿宋" w:cs="仿宋"/>
                <w:sz w:val="24"/>
              </w:rPr>
            </w:pPr>
          </w:p>
        </w:tc>
      </w:tr>
      <w:tr w14:paraId="79160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1DB215D4">
            <w:pPr>
              <w:adjustRightInd w:val="0"/>
              <w:snapToGrid w:val="0"/>
              <w:spacing w:line="360" w:lineRule="auto"/>
              <w:jc w:val="center"/>
              <w:rPr>
                <w:rFonts w:hint="eastAsia" w:ascii="仿宋" w:hAnsi="仿宋" w:eastAsia="仿宋" w:cs="仿宋"/>
                <w:sz w:val="24"/>
              </w:rPr>
            </w:pPr>
          </w:p>
        </w:tc>
        <w:tc>
          <w:tcPr>
            <w:tcW w:w="1620" w:type="dxa"/>
            <w:vAlign w:val="center"/>
          </w:tcPr>
          <w:p w14:paraId="2720BD83">
            <w:pPr>
              <w:adjustRightInd w:val="0"/>
              <w:snapToGrid w:val="0"/>
              <w:spacing w:line="360" w:lineRule="auto"/>
              <w:jc w:val="center"/>
              <w:rPr>
                <w:rFonts w:hint="eastAsia" w:ascii="仿宋" w:hAnsi="仿宋" w:eastAsia="仿宋" w:cs="仿宋"/>
                <w:sz w:val="24"/>
              </w:rPr>
            </w:pPr>
          </w:p>
        </w:tc>
        <w:tc>
          <w:tcPr>
            <w:tcW w:w="1260" w:type="dxa"/>
            <w:vAlign w:val="center"/>
          </w:tcPr>
          <w:p w14:paraId="3BF1857F">
            <w:pPr>
              <w:spacing w:line="360" w:lineRule="auto"/>
              <w:jc w:val="center"/>
              <w:rPr>
                <w:rFonts w:hint="eastAsia" w:ascii="仿宋" w:hAnsi="仿宋" w:eastAsia="仿宋" w:cs="仿宋"/>
                <w:sz w:val="24"/>
              </w:rPr>
            </w:pPr>
          </w:p>
        </w:tc>
        <w:tc>
          <w:tcPr>
            <w:tcW w:w="900" w:type="dxa"/>
            <w:vAlign w:val="center"/>
          </w:tcPr>
          <w:p w14:paraId="28FA21AD">
            <w:pPr>
              <w:spacing w:line="360" w:lineRule="auto"/>
              <w:jc w:val="center"/>
              <w:rPr>
                <w:rFonts w:hint="eastAsia" w:ascii="仿宋" w:hAnsi="仿宋" w:eastAsia="仿宋" w:cs="仿宋"/>
                <w:sz w:val="24"/>
              </w:rPr>
            </w:pPr>
          </w:p>
        </w:tc>
        <w:tc>
          <w:tcPr>
            <w:tcW w:w="900" w:type="dxa"/>
            <w:vAlign w:val="center"/>
          </w:tcPr>
          <w:p w14:paraId="6C0F2568">
            <w:pPr>
              <w:adjustRightInd w:val="0"/>
              <w:snapToGrid w:val="0"/>
              <w:spacing w:line="360" w:lineRule="auto"/>
              <w:jc w:val="center"/>
              <w:rPr>
                <w:rFonts w:hint="eastAsia" w:ascii="仿宋" w:hAnsi="仿宋" w:eastAsia="仿宋" w:cs="仿宋"/>
                <w:sz w:val="24"/>
              </w:rPr>
            </w:pPr>
          </w:p>
        </w:tc>
        <w:tc>
          <w:tcPr>
            <w:tcW w:w="900" w:type="dxa"/>
            <w:vAlign w:val="center"/>
          </w:tcPr>
          <w:p w14:paraId="01314DFA">
            <w:pPr>
              <w:autoSpaceDN w:val="0"/>
              <w:spacing w:line="360" w:lineRule="auto"/>
              <w:jc w:val="center"/>
              <w:textAlignment w:val="center"/>
              <w:rPr>
                <w:rFonts w:hint="eastAsia" w:ascii="仿宋" w:hAnsi="仿宋" w:eastAsia="仿宋" w:cs="仿宋"/>
                <w:sz w:val="24"/>
              </w:rPr>
            </w:pPr>
          </w:p>
        </w:tc>
        <w:tc>
          <w:tcPr>
            <w:tcW w:w="894" w:type="dxa"/>
            <w:vAlign w:val="center"/>
          </w:tcPr>
          <w:p w14:paraId="369A584A">
            <w:pPr>
              <w:autoSpaceDN w:val="0"/>
              <w:spacing w:line="360" w:lineRule="auto"/>
              <w:jc w:val="center"/>
              <w:textAlignment w:val="center"/>
              <w:rPr>
                <w:rFonts w:hint="eastAsia" w:ascii="仿宋" w:hAnsi="仿宋" w:eastAsia="仿宋" w:cs="仿宋"/>
                <w:sz w:val="24"/>
              </w:rPr>
            </w:pPr>
          </w:p>
        </w:tc>
        <w:tc>
          <w:tcPr>
            <w:tcW w:w="839" w:type="dxa"/>
            <w:vAlign w:val="center"/>
          </w:tcPr>
          <w:p w14:paraId="22E1A0FF">
            <w:pPr>
              <w:autoSpaceDN w:val="0"/>
              <w:spacing w:line="360" w:lineRule="auto"/>
              <w:jc w:val="center"/>
              <w:textAlignment w:val="center"/>
              <w:rPr>
                <w:rFonts w:hint="eastAsia" w:ascii="仿宋" w:hAnsi="仿宋" w:eastAsia="仿宋" w:cs="仿宋"/>
                <w:sz w:val="24"/>
              </w:rPr>
            </w:pPr>
          </w:p>
        </w:tc>
      </w:tr>
      <w:tr w14:paraId="0C8EE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vAlign w:val="center"/>
          </w:tcPr>
          <w:p w14:paraId="6CFF22AE">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rPr>
              <w:t>总计（人民币/元）</w:t>
            </w:r>
          </w:p>
        </w:tc>
        <w:tc>
          <w:tcPr>
            <w:tcW w:w="5693" w:type="dxa"/>
            <w:gridSpan w:val="6"/>
            <w:vAlign w:val="center"/>
          </w:tcPr>
          <w:p w14:paraId="0F17FD11">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       （大写）</w:t>
            </w:r>
          </w:p>
        </w:tc>
      </w:tr>
    </w:tbl>
    <w:p w14:paraId="706A371E">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（参数较多可以附件说明）</w:t>
      </w:r>
    </w:p>
    <w:p w14:paraId="2A383A1D">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乙方负责按以上确定的产品规格、型号及配套内容进行供货，及时运到甲方指定交货地点安装调试，确保所有产品达到最佳运行状态，负责对甲方操作、维护人员进行培训，指导操作、使用和维修保养，做好售后服务工作。</w:t>
      </w:r>
    </w:p>
    <w:p w14:paraId="146618C4">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二、合同价格</w:t>
      </w:r>
    </w:p>
    <w:p w14:paraId="04DBBADA">
      <w:pPr>
        <w:kinsoku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合同总价：人民币大写：</w:t>
      </w:r>
      <w:r>
        <w:rPr>
          <w:rFonts w:hint="eastAsia" w:ascii="仿宋" w:hAnsi="仿宋" w:eastAsia="仿宋" w:cs="仿宋"/>
          <w:sz w:val="24"/>
          <w:u w:val="single"/>
        </w:rPr>
        <w:t xml:space="preserve">       </w:t>
      </w:r>
      <w:r>
        <w:rPr>
          <w:rFonts w:hint="eastAsia" w:ascii="仿宋" w:hAnsi="仿宋" w:eastAsia="仿宋" w:cs="仿宋"/>
          <w:b/>
          <w:sz w:val="24"/>
        </w:rPr>
        <w:t>元整；¥</w:t>
      </w:r>
      <w:r>
        <w:rPr>
          <w:rFonts w:hint="eastAsia" w:ascii="仿宋" w:hAnsi="仿宋" w:eastAsia="仿宋" w:cs="仿宋"/>
          <w:sz w:val="24"/>
          <w:u w:val="single"/>
        </w:rPr>
        <w:t xml:space="preserve">       </w:t>
      </w:r>
      <w:r>
        <w:rPr>
          <w:rFonts w:hint="eastAsia" w:ascii="仿宋" w:hAnsi="仿宋" w:eastAsia="仿宋" w:cs="仿宋"/>
          <w:sz w:val="24"/>
        </w:rPr>
        <w:t>元。</w:t>
      </w:r>
    </w:p>
    <w:p w14:paraId="5957E007">
      <w:pPr>
        <w:spacing w:line="360" w:lineRule="auto"/>
        <w:ind w:firstLine="480" w:firstLineChars="200"/>
        <w:rPr>
          <w:rFonts w:hint="eastAsia" w:ascii="仿宋" w:hAnsi="仿宋" w:eastAsia="仿宋" w:cs="仿宋"/>
          <w:sz w:val="24"/>
        </w:rPr>
      </w:pPr>
      <w:r>
        <w:rPr>
          <w:rFonts w:hint="eastAsia" w:ascii="仿宋" w:hAnsi="仿宋" w:eastAsia="仿宋" w:cs="仿宋"/>
          <w:sz w:val="24"/>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664F0202">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三、款项支付</w:t>
      </w:r>
    </w:p>
    <w:p w14:paraId="4788E7D3">
      <w:pPr>
        <w:spacing w:line="360" w:lineRule="auto"/>
        <w:ind w:firstLine="480" w:firstLineChars="200"/>
        <w:rPr>
          <w:rFonts w:hint="eastAsia" w:ascii="仿宋" w:hAnsi="仿宋" w:eastAsia="仿宋" w:cs="仿宋"/>
          <w:sz w:val="24"/>
        </w:rPr>
      </w:pPr>
      <w:r>
        <w:rPr>
          <w:rFonts w:hint="eastAsia" w:ascii="仿宋" w:hAnsi="仿宋" w:eastAsia="仿宋" w:cs="仿宋"/>
          <w:sz w:val="24"/>
        </w:rPr>
        <w:t>最终验收合格后，乙方持《终验合格单》原件和全额发票在甲方处办理百分之百（100%）的合同款支付手续，达到付款条件起 30 日内，支付合同总金额的100.00%。</w:t>
      </w:r>
    </w:p>
    <w:p w14:paraId="049AC50D">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四、完工条件</w:t>
      </w:r>
    </w:p>
    <w:p w14:paraId="758603FA">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1、项目实施地点：需要将货物运输至陕西铁路工程职业技术学院高新校区进行货物交付。</w:t>
      </w:r>
    </w:p>
    <w:p w14:paraId="1774E008">
      <w:pPr>
        <w:kinsoku w:val="0"/>
        <w:spacing w:line="360" w:lineRule="auto"/>
        <w:ind w:firstLine="600" w:firstLineChars="250"/>
        <w:rPr>
          <w:rFonts w:hint="eastAsia" w:ascii="仿宋" w:hAnsi="仿宋" w:eastAsia="仿宋" w:cs="仿宋"/>
          <w:sz w:val="24"/>
        </w:rPr>
      </w:pPr>
      <w:r>
        <w:rPr>
          <w:rFonts w:hint="eastAsia" w:ascii="仿宋" w:hAnsi="仿宋" w:eastAsia="仿宋" w:cs="仿宋"/>
          <w:sz w:val="24"/>
        </w:rPr>
        <w:t>2、完工日期：在签订合同后的30个工作日内发货。</w:t>
      </w:r>
    </w:p>
    <w:p w14:paraId="388BB953">
      <w:pPr>
        <w:pStyle w:val="2"/>
        <w:spacing w:line="360" w:lineRule="auto"/>
        <w:ind w:firstLine="480"/>
        <w:rPr>
          <w:rFonts w:hint="eastAsia" w:ascii="仿宋" w:hAnsi="仿宋" w:eastAsia="仿宋" w:cs="仿宋"/>
          <w:b/>
          <w:sz w:val="24"/>
        </w:rPr>
      </w:pPr>
      <w:r>
        <w:rPr>
          <w:rFonts w:hint="eastAsia" w:ascii="仿宋" w:hAnsi="仿宋" w:eastAsia="仿宋" w:cs="仿宋"/>
          <w:b/>
          <w:sz w:val="24"/>
        </w:rPr>
        <w:t>五、运输方式：</w:t>
      </w:r>
    </w:p>
    <w:p w14:paraId="72872706">
      <w:pPr>
        <w:pStyle w:val="2"/>
        <w:spacing w:line="360" w:lineRule="auto"/>
        <w:ind w:firstLine="480"/>
        <w:rPr>
          <w:rFonts w:hint="eastAsia" w:ascii="仿宋" w:hAnsi="仿宋" w:eastAsia="仿宋" w:cs="仿宋"/>
          <w:sz w:val="24"/>
        </w:rPr>
      </w:pPr>
      <w:r>
        <w:rPr>
          <w:rFonts w:hint="eastAsia" w:ascii="仿宋" w:hAnsi="仿宋" w:eastAsia="仿宋" w:cs="仿宋"/>
          <w:sz w:val="24"/>
        </w:rPr>
        <w:t>设备应采用适合长途运输和多次搬运的包装方式:轨检车、探伤小车等包装和运输中使用泡沫、海绵等缓冲材料固定，防止设备在运输过程中发生碰撞、震动而损坏。在运输过程中，要确保设备处于平稳状态，需要采取减震措施，如使用减震垫、减震支架等。避免颠簸、倾斜和剧烈震动。</w:t>
      </w:r>
    </w:p>
    <w:p w14:paraId="60DDC535">
      <w:pPr>
        <w:pStyle w:val="2"/>
        <w:spacing w:line="360" w:lineRule="auto"/>
        <w:ind w:firstLine="480"/>
        <w:rPr>
          <w:rFonts w:hint="eastAsia" w:ascii="仿宋" w:hAnsi="仿宋" w:eastAsia="仿宋" w:cs="仿宋"/>
          <w:b/>
          <w:sz w:val="24"/>
        </w:rPr>
      </w:pPr>
      <w:r>
        <w:rPr>
          <w:rFonts w:hint="eastAsia" w:ascii="仿宋" w:hAnsi="仿宋" w:eastAsia="仿宋" w:cs="仿宋"/>
          <w:sz w:val="24"/>
        </w:rPr>
        <w:t>根据产品特性，由乙方在保证产品质量的前提下，自行选择运输及包装方式，发生的一切费用全部由乙方承担。</w:t>
      </w:r>
    </w:p>
    <w:p w14:paraId="45038581">
      <w:pPr>
        <w:spacing w:line="360" w:lineRule="auto"/>
        <w:ind w:firstLine="482" w:firstLineChars="200"/>
        <w:rPr>
          <w:rFonts w:hint="eastAsia" w:ascii="仿宋" w:hAnsi="仿宋" w:eastAsia="仿宋" w:cs="仿宋"/>
          <w:sz w:val="24"/>
          <w:lang w:val="en-US" w:eastAsia="zh-CN"/>
        </w:rPr>
      </w:pPr>
      <w:r>
        <w:rPr>
          <w:rFonts w:hint="eastAsia" w:ascii="仿宋" w:hAnsi="仿宋" w:eastAsia="仿宋" w:cs="仿宋"/>
          <w:b/>
          <w:sz w:val="24"/>
        </w:rPr>
        <w:t>六、质量保证</w:t>
      </w:r>
      <w:r>
        <w:rPr>
          <w:rFonts w:hint="eastAsia" w:ascii="仿宋" w:hAnsi="仿宋" w:eastAsia="仿宋" w:cs="仿宋"/>
          <w:b/>
          <w:sz w:val="24"/>
          <w:lang w:val="en-US" w:eastAsia="zh-CN"/>
        </w:rPr>
        <w:t>及售后服务</w:t>
      </w:r>
    </w:p>
    <w:p w14:paraId="76A30B5E">
      <w:pPr>
        <w:spacing w:line="360" w:lineRule="auto"/>
        <w:ind w:firstLine="480" w:firstLineChars="200"/>
        <w:rPr>
          <w:rFonts w:hint="eastAsia" w:ascii="仿宋" w:hAnsi="仿宋" w:eastAsia="仿宋" w:cs="仿宋"/>
          <w:sz w:val="24"/>
        </w:rPr>
      </w:pPr>
      <w:r>
        <w:rPr>
          <w:rFonts w:hint="eastAsia" w:ascii="仿宋" w:hAnsi="仿宋" w:eastAsia="仿宋" w:cs="仿宋"/>
          <w:sz w:val="24"/>
        </w:rPr>
        <w:t>1、质保期重点部位报修：自验收合格之日起，进入质保期（</w:t>
      </w:r>
      <w:r>
        <w:rPr>
          <w:rFonts w:hint="eastAsia" w:ascii="仿宋" w:hAnsi="仿宋" w:eastAsia="仿宋" w:cs="仿宋"/>
          <w:sz w:val="24"/>
          <w:u w:val="single"/>
        </w:rPr>
        <w:t xml:space="preserve">     </w:t>
      </w:r>
      <w:r>
        <w:rPr>
          <w:rFonts w:hint="eastAsia" w:ascii="仿宋" w:hAnsi="仿宋" w:eastAsia="仿宋" w:cs="仿宋"/>
          <w:sz w:val="24"/>
        </w:rPr>
        <w:t>年期限）。针对轨检小车等设备的 核心部件（如轨检小车的高精度传感器等）、关键传动结构及电子控制单元等重点部位，若在质保期内出现非人为损坏、性能下降或故障，厂家需在 [24小时内] 响应报修请求，并于 [48小时内] 派遣专业技术人员携带备件抵达现场，免费提供维修、更换服务。</w:t>
      </w:r>
    </w:p>
    <w:p w14:paraId="05F4D55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2、乙方保证所提供的产品质量可靠，进货渠道正常，配置合理，技术性能满足</w:t>
      </w:r>
      <w:r>
        <w:rPr>
          <w:rFonts w:hint="eastAsia" w:ascii="仿宋" w:hAnsi="仿宋" w:eastAsia="仿宋" w:cs="仿宋"/>
          <w:sz w:val="24"/>
          <w:lang w:val="en-US" w:eastAsia="zh-CN"/>
        </w:rPr>
        <w:t>采购人</w:t>
      </w:r>
      <w:r>
        <w:rPr>
          <w:rFonts w:hint="eastAsia" w:ascii="仿宋" w:hAnsi="仿宋" w:eastAsia="仿宋" w:cs="仿宋"/>
          <w:sz w:val="24"/>
        </w:rPr>
        <w:t>要求。</w:t>
      </w:r>
    </w:p>
    <w:p w14:paraId="2E7B0F5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若产品所用原材料或加工工艺造成的质量和内外观缺陷问题，由乙方负责解决并承担费用。（乙方保证货物是全新的、未曾使用过的、以优质工艺及材料制造，并保证所供产品的完整性，本合同产品为成套供货，合同总价中已包括满足产品完整运行的附件，备件，配套件等，产品质量应符合国标标准和本合同附件的要求,乙方应随机提供产品检验报告。）</w:t>
      </w:r>
    </w:p>
    <w:p w14:paraId="67C5B6B3">
      <w:pPr>
        <w:adjustRightInd w:val="0"/>
        <w:snapToGrid w:val="0"/>
        <w:spacing w:line="360" w:lineRule="auto"/>
        <w:ind w:firstLine="600" w:firstLineChars="250"/>
        <w:rPr>
          <w:rFonts w:hint="eastAsia" w:ascii="仿宋" w:hAnsi="仿宋" w:eastAsia="仿宋" w:cs="仿宋"/>
          <w:sz w:val="24"/>
        </w:rPr>
      </w:pPr>
      <w:r>
        <w:rPr>
          <w:rFonts w:hint="eastAsia" w:ascii="仿宋" w:hAnsi="仿宋" w:eastAsia="仿宋" w:cs="仿宋"/>
          <w:sz w:val="24"/>
        </w:rPr>
        <w:t>4、产品的质保期为产品</w:t>
      </w:r>
      <w:r>
        <w:rPr>
          <w:rFonts w:hint="eastAsia" w:ascii="仿宋" w:hAnsi="仿宋" w:eastAsia="仿宋" w:cs="仿宋"/>
          <w:sz w:val="24"/>
          <w:u w:val="single"/>
        </w:rPr>
        <w:t xml:space="preserve">   </w:t>
      </w:r>
      <w:r>
        <w:rPr>
          <w:rFonts w:hint="eastAsia" w:ascii="仿宋" w:hAnsi="仿宋" w:eastAsia="仿宋" w:cs="仿宋"/>
          <w:sz w:val="24"/>
        </w:rPr>
        <w:t>月质保期内若发生产品质量问题，乙方应立即免费解决；超过质保期的，按照厂家承诺进行。</w:t>
      </w:r>
    </w:p>
    <w:p w14:paraId="417B7870">
      <w:pPr>
        <w:adjustRightInd w:val="0"/>
        <w:snapToGrid w:val="0"/>
        <w:spacing w:line="360" w:lineRule="auto"/>
        <w:ind w:firstLine="600" w:firstLineChars="250"/>
        <w:rPr>
          <w:rFonts w:hint="eastAsia" w:ascii="仿宋" w:hAnsi="仿宋" w:eastAsia="仿宋" w:cs="仿宋"/>
          <w:bCs/>
          <w:sz w:val="24"/>
        </w:rPr>
      </w:pPr>
      <w:r>
        <w:rPr>
          <w:rFonts w:hint="eastAsia" w:ascii="仿宋" w:hAnsi="仿宋" w:eastAsia="仿宋" w:cs="仿宋"/>
          <w:sz w:val="24"/>
        </w:rPr>
        <w:t>5、产品</w:t>
      </w:r>
      <w:r>
        <w:rPr>
          <w:rFonts w:hint="eastAsia" w:ascii="仿宋" w:hAnsi="仿宋" w:eastAsia="仿宋" w:cs="仿宋"/>
          <w:bCs/>
          <w:sz w:val="24"/>
        </w:rPr>
        <w:t>性能未达到技术要求的，乙方限期内进行整改；整改仍达不到要求的，甲方有权解除合同，保留依法索赔的权利。</w:t>
      </w:r>
    </w:p>
    <w:p w14:paraId="1F66D53F">
      <w:pPr>
        <w:adjustRightInd w:val="0"/>
        <w:snapToGrid w:val="0"/>
        <w:spacing w:line="360" w:lineRule="auto"/>
        <w:ind w:firstLine="600" w:firstLineChars="250"/>
        <w:rPr>
          <w:rFonts w:hint="eastAsia" w:ascii="仿宋" w:hAnsi="仿宋" w:eastAsia="仿宋" w:cs="仿宋"/>
          <w:sz w:val="24"/>
        </w:rPr>
      </w:pPr>
      <w:r>
        <w:rPr>
          <w:rFonts w:hint="eastAsia" w:ascii="仿宋" w:hAnsi="仿宋" w:eastAsia="仿宋" w:cs="仿宋"/>
          <w:bCs/>
          <w:sz w:val="24"/>
        </w:rPr>
        <w:t>6、</w:t>
      </w:r>
      <w:r>
        <w:rPr>
          <w:rFonts w:hint="eastAsia" w:ascii="仿宋" w:hAnsi="仿宋" w:eastAsia="仿宋" w:cs="仿宋"/>
          <w:sz w:val="24"/>
        </w:rPr>
        <w:t>知识产权：即乙方应保证甲方在使用成交货物时，不承担任何涉及知识产权法律诉讼的责任。</w:t>
      </w:r>
    </w:p>
    <w:p w14:paraId="53126EB2">
      <w:pPr>
        <w:adjustRightInd w:val="0"/>
        <w:snapToGrid w:val="0"/>
        <w:spacing w:line="360" w:lineRule="auto"/>
        <w:ind w:firstLine="600" w:firstLineChars="250"/>
        <w:rPr>
          <w:rFonts w:hint="eastAsia" w:ascii="仿宋" w:hAnsi="仿宋" w:eastAsia="仿宋" w:cs="仿宋"/>
          <w:sz w:val="24"/>
        </w:rPr>
      </w:pPr>
      <w:r>
        <w:rPr>
          <w:rFonts w:hint="eastAsia" w:ascii="仿宋" w:hAnsi="仿宋" w:eastAsia="仿宋" w:cs="仿宋"/>
          <w:sz w:val="24"/>
        </w:rPr>
        <w:t>7、需执行的国家相关标准、行业标准、地方标准或者其他标准、规范：</w:t>
      </w:r>
    </w:p>
    <w:p w14:paraId="6A3E6F8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（1）《高速铁路线路维修规则》（TG/GW 115 - 2023）；</w:t>
      </w:r>
    </w:p>
    <w:p w14:paraId="52ACB93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（2）《铁路轨道检查仪检定规程》（JJG 1090—2023）；</w:t>
      </w:r>
    </w:p>
    <w:p w14:paraId="302AA8C9">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sz w:val="24"/>
        </w:rPr>
        <w:t>（3）《高速铁路工程测量规范》（TB 10601—2009）。</w:t>
      </w:r>
    </w:p>
    <w:p w14:paraId="2ADD1B27">
      <w:pPr>
        <w:adjustRightInd w:val="0"/>
        <w:snapToGrid w:val="0"/>
        <w:spacing w:line="360" w:lineRule="auto"/>
        <w:ind w:firstLine="359" w:firstLineChars="149"/>
        <w:rPr>
          <w:rFonts w:hint="eastAsia" w:ascii="仿宋" w:hAnsi="仿宋" w:eastAsia="仿宋" w:cs="仿宋"/>
          <w:b/>
          <w:sz w:val="24"/>
        </w:rPr>
      </w:pPr>
      <w:r>
        <w:rPr>
          <w:rFonts w:hint="eastAsia" w:ascii="仿宋" w:hAnsi="仿宋" w:eastAsia="仿宋" w:cs="仿宋"/>
          <w:b/>
          <w:sz w:val="24"/>
        </w:rPr>
        <w:t>七、安装、调试及技术服务</w:t>
      </w:r>
    </w:p>
    <w:p w14:paraId="1A2ED7F2">
      <w:pPr>
        <w:spacing w:line="360" w:lineRule="auto"/>
        <w:ind w:firstLine="496" w:firstLineChars="207"/>
        <w:rPr>
          <w:rFonts w:hint="eastAsia" w:ascii="仿宋" w:hAnsi="仿宋" w:eastAsia="仿宋" w:cs="仿宋"/>
          <w:sz w:val="24"/>
        </w:rPr>
      </w:pPr>
      <w:r>
        <w:rPr>
          <w:rFonts w:hint="eastAsia" w:ascii="仿宋" w:hAnsi="仿宋" w:eastAsia="仿宋" w:cs="仿宋"/>
          <w:sz w:val="24"/>
        </w:rPr>
        <w:t>1、技术资料包括：出厂检测报告、产品使用说明书、合格证等其它相关资料。</w:t>
      </w:r>
    </w:p>
    <w:p w14:paraId="1637D01D">
      <w:pPr>
        <w:spacing w:line="360" w:lineRule="auto"/>
        <w:ind w:firstLine="480" w:firstLineChars="200"/>
        <w:rPr>
          <w:rFonts w:hint="eastAsia" w:ascii="仿宋" w:hAnsi="仿宋" w:eastAsia="仿宋" w:cs="仿宋"/>
          <w:sz w:val="24"/>
        </w:rPr>
      </w:pPr>
      <w:r>
        <w:rPr>
          <w:rFonts w:hint="eastAsia" w:ascii="仿宋" w:hAnsi="仿宋" w:eastAsia="仿宋" w:cs="仿宋"/>
          <w:sz w:val="24"/>
        </w:rPr>
        <w:t>2、乙方保证产品完全按招标要求提供，若达不到要求，乙方须及时跟甲方沟通协商更换产品，并按照再次验收合格时间相应延长该产品保修期。</w:t>
      </w:r>
    </w:p>
    <w:p w14:paraId="77D1013C">
      <w:pPr>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2DC17034">
      <w:pPr>
        <w:spacing w:line="360" w:lineRule="auto"/>
        <w:ind w:firstLine="600" w:firstLineChars="250"/>
        <w:rPr>
          <w:rFonts w:hint="eastAsia" w:ascii="仿宋" w:hAnsi="仿宋" w:eastAsia="仿宋" w:cs="仿宋"/>
          <w:sz w:val="24"/>
        </w:rPr>
      </w:pPr>
      <w:r>
        <w:rPr>
          <w:rFonts w:hint="eastAsia" w:ascii="仿宋" w:hAnsi="仿宋" w:eastAsia="仿宋" w:cs="仿宋"/>
          <w:sz w:val="24"/>
        </w:rPr>
        <w:t>1）内容：包括产品原理、使用操作、保养维修技术等，使受训人员达到独立使用、熟练操作的程度。</w:t>
      </w:r>
    </w:p>
    <w:p w14:paraId="1E23767C">
      <w:pPr>
        <w:spacing w:line="360" w:lineRule="auto"/>
        <w:ind w:firstLine="600" w:firstLineChars="250"/>
        <w:rPr>
          <w:rFonts w:hint="eastAsia" w:ascii="仿宋" w:hAnsi="仿宋" w:eastAsia="仿宋" w:cs="仿宋"/>
          <w:sz w:val="24"/>
        </w:rPr>
      </w:pPr>
      <w:r>
        <w:rPr>
          <w:rFonts w:hint="eastAsia" w:ascii="仿宋" w:hAnsi="仿宋" w:eastAsia="仿宋" w:cs="仿宋"/>
          <w:sz w:val="24"/>
        </w:rPr>
        <w:t>2）培训准备：每台仪器培训主要操作人员2-3人。</w:t>
      </w:r>
    </w:p>
    <w:p w14:paraId="662BDC1B">
      <w:pPr>
        <w:spacing w:line="360" w:lineRule="auto"/>
        <w:ind w:firstLine="600" w:firstLineChars="250"/>
        <w:rPr>
          <w:rFonts w:hint="eastAsia" w:ascii="仿宋" w:hAnsi="仿宋" w:eastAsia="仿宋" w:cs="仿宋"/>
          <w:sz w:val="24"/>
        </w:rPr>
      </w:pPr>
      <w:r>
        <w:rPr>
          <w:rFonts w:hint="eastAsia" w:ascii="仿宋" w:hAnsi="仿宋" w:eastAsia="仿宋" w:cs="仿宋"/>
          <w:sz w:val="24"/>
        </w:rPr>
        <w:t>3）地点：仪器安装地点（陕西铁路工程职业技术学院）</w:t>
      </w:r>
    </w:p>
    <w:p w14:paraId="3B432D45">
      <w:pPr>
        <w:spacing w:line="360" w:lineRule="auto"/>
        <w:ind w:firstLine="600" w:firstLineChars="250"/>
        <w:rPr>
          <w:rFonts w:hint="eastAsia" w:ascii="仿宋" w:hAnsi="仿宋" w:eastAsia="仿宋" w:cs="仿宋"/>
          <w:sz w:val="24"/>
        </w:rPr>
      </w:pPr>
      <w:r>
        <w:rPr>
          <w:rFonts w:hint="eastAsia" w:ascii="仿宋" w:hAnsi="仿宋" w:eastAsia="仿宋" w:cs="仿宋"/>
          <w:sz w:val="24"/>
        </w:rPr>
        <w:t>4）时间：在收到甲方通知后一周内安排。</w:t>
      </w:r>
    </w:p>
    <w:p w14:paraId="68E97CF8">
      <w:pPr>
        <w:spacing w:line="360" w:lineRule="auto"/>
        <w:ind w:firstLine="600" w:firstLineChars="250"/>
        <w:rPr>
          <w:rFonts w:hint="eastAsia" w:ascii="仿宋" w:hAnsi="仿宋" w:eastAsia="仿宋" w:cs="仿宋"/>
        </w:rPr>
      </w:pPr>
      <w:r>
        <w:rPr>
          <w:rFonts w:hint="eastAsia" w:ascii="仿宋" w:hAnsi="仿宋" w:eastAsia="仿宋" w:cs="仿宋"/>
          <w:sz w:val="24"/>
        </w:rPr>
        <w:t>5）技术指导服务：在质保期内，厂家需每年至少提供 1 次 专业技术指导。指导内容涵盖设备的 深度维护保养规范（如传感器校准流程）、复杂故障诊断技巧 及 行业新技术应用讲解 等。技术指导形式可采用 现场培训（安排工程师驻场教学，时长不少于 3 天）、 远程视频指导（配合设备操作演示）或 线上理论授课 相结合的方式，确保使用方技术人员全面掌握设备维护要点，提升设备运行稳定性与使用寿命 。</w:t>
      </w:r>
    </w:p>
    <w:p w14:paraId="2D05939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4、服务承诺：按投标文件中的服务承诺执行。</w:t>
      </w:r>
    </w:p>
    <w:p w14:paraId="64300BD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5、安装调试过程中出现的安全责任问题由乙方全权负责。</w:t>
      </w:r>
    </w:p>
    <w:p w14:paraId="448C423D">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八、违约责任：</w:t>
      </w:r>
    </w:p>
    <w:p w14:paraId="3C2D66D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1、按《中华人民共和国民法典》中合同部分的相关条款执行。</w:t>
      </w:r>
    </w:p>
    <w:p w14:paraId="6E0426C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2、未按合同要求提供产品或产品质量不能满足技术要求，甲方有权终止合同，并保留追究乙方违约责任的权利。</w:t>
      </w:r>
    </w:p>
    <w:p w14:paraId="61D5519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3、时间迟延的，违约方按照每天1‰向对方承担违约责任。产品质量问题违约的，除了按照迟延时间计算违约金外，另可以采取退货、换货等方式，由供方承担一切费用。</w:t>
      </w:r>
    </w:p>
    <w:p w14:paraId="2E38E56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4、乙方不得进行债权转让。</w:t>
      </w:r>
    </w:p>
    <w:p w14:paraId="04C39DE1">
      <w:pPr>
        <w:spacing w:line="360" w:lineRule="auto"/>
        <w:ind w:firstLine="532"/>
        <w:rPr>
          <w:rFonts w:hint="eastAsia" w:ascii="仿宋" w:hAnsi="仿宋" w:eastAsia="仿宋" w:cs="仿宋"/>
          <w:b/>
          <w:sz w:val="24"/>
        </w:rPr>
      </w:pPr>
      <w:r>
        <w:rPr>
          <w:rFonts w:hint="eastAsia" w:ascii="仿宋" w:hAnsi="仿宋" w:eastAsia="仿宋" w:cs="仿宋"/>
          <w:b/>
          <w:sz w:val="24"/>
        </w:rPr>
        <w:t>九、产品验收</w:t>
      </w:r>
    </w:p>
    <w:p w14:paraId="4494DEFA">
      <w:pPr>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 xml:space="preserve">(1)设备外观与包装验收  </w:t>
      </w:r>
    </w:p>
    <w:p w14:paraId="78C8C350">
      <w:pPr>
        <w:spacing w:line="360" w:lineRule="auto"/>
        <w:ind w:firstLine="480" w:firstLineChars="200"/>
        <w:rPr>
          <w:rFonts w:hint="eastAsia" w:ascii="仿宋" w:hAnsi="仿宋" w:eastAsia="仿宋" w:cs="仿宋"/>
          <w:sz w:val="24"/>
        </w:rPr>
      </w:pPr>
      <w:r>
        <w:rPr>
          <w:rFonts w:hint="eastAsia" w:ascii="仿宋" w:hAnsi="仿宋" w:eastAsia="仿宋" w:cs="仿宋"/>
          <w:sz w:val="24"/>
        </w:rPr>
        <w:t>a外观检查：设备表面应无明显划痕、磕碰、掉漆、变形等缺陷，各部件连接牢固，无松动现象。设备的标识、铭牌清晰完整，标注的信息应与采购合同一致。</w:t>
      </w:r>
    </w:p>
    <w:p w14:paraId="36BB13EB">
      <w:pPr>
        <w:spacing w:line="360" w:lineRule="auto"/>
        <w:ind w:firstLine="480" w:firstLineChars="200"/>
        <w:rPr>
          <w:rFonts w:hint="eastAsia" w:ascii="仿宋" w:hAnsi="仿宋" w:eastAsia="仿宋" w:cs="仿宋"/>
          <w:sz w:val="24"/>
        </w:rPr>
      </w:pPr>
      <w:r>
        <w:rPr>
          <w:rFonts w:hint="eastAsia" w:ascii="仿宋" w:hAnsi="仿宋" w:eastAsia="仿宋" w:cs="仿宋"/>
          <w:sz w:val="24"/>
        </w:rPr>
        <w:t>b.包装检查：设备的包装应完好无损，符合运输要求。包装内的设备、配件、说明书、合格证等资料应齐全，且与装箱单一致。</w:t>
      </w:r>
    </w:p>
    <w:p w14:paraId="45DEE515">
      <w:pPr>
        <w:spacing w:line="360" w:lineRule="auto"/>
        <w:ind w:firstLine="480" w:firstLineChars="200"/>
        <w:rPr>
          <w:rFonts w:hint="eastAsia" w:ascii="仿宋" w:hAnsi="仿宋" w:eastAsia="仿宋" w:cs="仿宋"/>
          <w:sz w:val="24"/>
        </w:rPr>
      </w:pPr>
      <w:r>
        <w:rPr>
          <w:rFonts w:hint="eastAsia" w:ascii="仿宋" w:hAnsi="仿宋" w:eastAsia="仿宋" w:cs="仿宋"/>
          <w:sz w:val="24"/>
        </w:rPr>
        <w:t>(2)数量与规格验收</w:t>
      </w:r>
    </w:p>
    <w:p w14:paraId="1F2758B4">
      <w:pPr>
        <w:spacing w:line="360" w:lineRule="auto"/>
        <w:ind w:firstLine="480" w:firstLineChars="200"/>
        <w:rPr>
          <w:rFonts w:hint="eastAsia" w:ascii="仿宋" w:hAnsi="仿宋" w:eastAsia="仿宋" w:cs="仿宋"/>
          <w:sz w:val="24"/>
        </w:rPr>
      </w:pPr>
      <w:r>
        <w:rPr>
          <w:rFonts w:hint="eastAsia" w:ascii="仿宋" w:hAnsi="仿宋" w:eastAsia="仿宋" w:cs="仿宋"/>
          <w:sz w:val="24"/>
        </w:rPr>
        <w:t>数量核对：按照采购合同和装箱单，仔细核对设备、配件、工具等的数量，确保无遗漏、无短缺。</w:t>
      </w:r>
    </w:p>
    <w:p w14:paraId="644475A9">
      <w:pPr>
        <w:spacing w:line="360" w:lineRule="auto"/>
        <w:ind w:firstLine="480" w:firstLineChars="200"/>
        <w:rPr>
          <w:rFonts w:hint="eastAsia" w:ascii="仿宋" w:hAnsi="仿宋" w:eastAsia="仿宋" w:cs="仿宋"/>
          <w:sz w:val="24"/>
        </w:rPr>
      </w:pPr>
      <w:r>
        <w:rPr>
          <w:rFonts w:hint="eastAsia" w:ascii="仿宋" w:hAnsi="仿宋" w:eastAsia="仿宋" w:cs="仿宋"/>
          <w:sz w:val="24"/>
        </w:rPr>
        <w:t>规格检查：设备的型号、规格、技术参数等应与采购合同约定的一致。对于轨检小车，要检查其测量精度、检测范围、工作速度等关键参数是否符合要求。</w:t>
      </w:r>
    </w:p>
    <w:p w14:paraId="03FDBC06">
      <w:pPr>
        <w:spacing w:line="360" w:lineRule="auto"/>
        <w:ind w:firstLine="480" w:firstLineChars="200"/>
        <w:rPr>
          <w:rFonts w:hint="eastAsia" w:ascii="仿宋" w:hAnsi="仿宋" w:eastAsia="仿宋" w:cs="仿宋"/>
          <w:sz w:val="24"/>
        </w:rPr>
      </w:pPr>
      <w:r>
        <w:rPr>
          <w:rFonts w:hint="eastAsia" w:ascii="仿宋" w:hAnsi="仿宋" w:eastAsia="仿宋" w:cs="仿宋"/>
          <w:sz w:val="24"/>
        </w:rPr>
        <w:t>(3)性能测试验收</w:t>
      </w:r>
    </w:p>
    <w:p w14:paraId="036F050D">
      <w:pPr>
        <w:spacing w:line="360" w:lineRule="auto"/>
        <w:ind w:firstLine="480" w:firstLineChars="200"/>
        <w:rPr>
          <w:rFonts w:hint="eastAsia" w:ascii="仿宋" w:hAnsi="仿宋" w:eastAsia="仿宋" w:cs="仿宋"/>
          <w:sz w:val="24"/>
        </w:rPr>
      </w:pPr>
      <w:r>
        <w:rPr>
          <w:rFonts w:hint="eastAsia" w:ascii="仿宋" w:hAnsi="仿宋" w:eastAsia="仿宋" w:cs="仿宋"/>
          <w:sz w:val="24"/>
        </w:rPr>
        <w:t>功能测试：根据设备的使用说明书和技术要求，对设备的各项功能进行逐一测试。例如，轨检小车应能准确测量轨道的几何参数，如轨距、水平、高低、轨向等。</w:t>
      </w:r>
    </w:p>
    <w:p w14:paraId="0CD2D1AA">
      <w:pPr>
        <w:spacing w:line="360" w:lineRule="auto"/>
        <w:ind w:firstLine="480" w:firstLineChars="200"/>
        <w:rPr>
          <w:rFonts w:hint="eastAsia" w:ascii="仿宋" w:hAnsi="仿宋" w:eastAsia="仿宋" w:cs="仿宋"/>
          <w:sz w:val="24"/>
        </w:rPr>
      </w:pPr>
      <w:r>
        <w:rPr>
          <w:rFonts w:hint="eastAsia" w:ascii="仿宋" w:hAnsi="仿宋" w:eastAsia="仿宋" w:cs="仿宋"/>
          <w:sz w:val="24"/>
        </w:rPr>
        <w:t>精度验证：通过与标准轨道模型或已知精度的测量设备进行对比，验证轨检小车的测量精度。一般要求轨检小车的测量误差在规定范围内。</w:t>
      </w:r>
    </w:p>
    <w:p w14:paraId="73FEDB04">
      <w:pPr>
        <w:spacing w:line="360" w:lineRule="auto"/>
        <w:ind w:firstLine="480" w:firstLineChars="200"/>
        <w:rPr>
          <w:rFonts w:hint="eastAsia" w:ascii="仿宋" w:hAnsi="仿宋" w:eastAsia="仿宋" w:cs="仿宋"/>
          <w:sz w:val="24"/>
        </w:rPr>
      </w:pPr>
      <w:r>
        <w:rPr>
          <w:rFonts w:hint="eastAsia" w:ascii="仿宋" w:hAnsi="仿宋" w:eastAsia="仿宋" w:cs="仿宋"/>
          <w:sz w:val="24"/>
        </w:rPr>
        <w:t>稳定性测试：让设备在一定时间内连续运行，观察其性能是否稳定，有无死机、数据丢失、测量偏差过大等异常现象。对于轨检小车，通常要求在连续工作数小时或数十公里的行程内，设备的性能保持稳定。</w:t>
      </w:r>
    </w:p>
    <w:p w14:paraId="2B1AF78E">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2、产品到货后，乙方负责安装调试，达到正常运行条件后书面通知甲方验收。</w:t>
      </w:r>
    </w:p>
    <w:p w14:paraId="49F3F8A5">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3、安装完成后应提供详细的安装报告，并详细记录各种指示的实测数据。</w:t>
      </w:r>
    </w:p>
    <w:p w14:paraId="67643DB0">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4、提供完整的操作手册和安装、调试、维修手册；提供制造厂家的检验测试报告或产品出厂检测报告。</w:t>
      </w:r>
    </w:p>
    <w:p w14:paraId="654C6A59">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5、甲方根据合同要求对产品进行验收、确认产品的产地、规格、型号和数量。验收依据为本合同文本、招标文件和国内相应的标准、规范。</w:t>
      </w:r>
    </w:p>
    <w:p w14:paraId="59CBB2F8">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6、验收合格后，填写产品验收单，并向甲方提交产品所包含的所有资料，以便甲方日后管理和维护。</w:t>
      </w:r>
    </w:p>
    <w:p w14:paraId="3562B00C">
      <w:pPr>
        <w:spacing w:line="360" w:lineRule="auto"/>
        <w:ind w:firstLine="480" w:firstLineChars="200"/>
        <w:rPr>
          <w:rFonts w:hint="eastAsia"/>
        </w:rPr>
      </w:pPr>
      <w:r>
        <w:rPr>
          <w:rFonts w:hint="eastAsia" w:ascii="仿宋" w:hAnsi="仿宋" w:eastAsia="仿宋" w:cs="仿宋"/>
          <w:sz w:val="24"/>
          <w:lang w:val="en-US" w:eastAsia="zh-CN"/>
        </w:rPr>
        <w:t>7、验收由甲方负责组织或者邀请有关专家、质检机构等共同进行验收,验收须以合同、招标文件、澄清、及国家相应的标准、规范等为依据。</w:t>
      </w:r>
    </w:p>
    <w:p w14:paraId="369B49FE">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十、合同争议的解决：</w:t>
      </w:r>
    </w:p>
    <w:p w14:paraId="3842C8C7">
      <w:pPr>
        <w:tabs>
          <w:tab w:val="left" w:pos="5355"/>
        </w:tabs>
        <w:spacing w:line="360" w:lineRule="auto"/>
        <w:ind w:firstLine="480" w:firstLineChars="200"/>
        <w:rPr>
          <w:rFonts w:hint="eastAsia" w:ascii="仿宋" w:hAnsi="仿宋" w:eastAsia="仿宋" w:cs="仿宋"/>
          <w:b/>
          <w:sz w:val="24"/>
        </w:rPr>
      </w:pPr>
      <w:r>
        <w:rPr>
          <w:rFonts w:hint="eastAsia" w:ascii="仿宋" w:hAnsi="仿宋" w:eastAsia="仿宋" w:cs="仿宋"/>
          <w:sz w:val="24"/>
        </w:rPr>
        <w:t>合同一经签订，不得随意变更、中止或终止。对确需变更、调整或者中止、终止合同的，应按规定履行相应的手续。</w:t>
      </w:r>
    </w:p>
    <w:p w14:paraId="3AF67897">
      <w:pPr>
        <w:tabs>
          <w:tab w:val="left" w:pos="5355"/>
        </w:tabs>
        <w:spacing w:line="360" w:lineRule="auto"/>
        <w:ind w:firstLine="480" w:firstLineChars="200"/>
        <w:rPr>
          <w:rFonts w:hint="eastAsia" w:ascii="仿宋" w:hAnsi="仿宋" w:eastAsia="仿宋" w:cs="仿宋"/>
          <w:sz w:val="24"/>
        </w:rPr>
      </w:pPr>
      <w:r>
        <w:rPr>
          <w:rFonts w:hint="eastAsia" w:ascii="仿宋" w:hAnsi="仿宋" w:eastAsia="仿宋" w:cs="仿宋"/>
          <w:sz w:val="24"/>
        </w:rPr>
        <w:t>合同执行中发生争议的，甲、乙双方应协商解决，协商达不成一致时，可向甲方所在地人民法院提请诉讼。</w:t>
      </w:r>
    </w:p>
    <w:p w14:paraId="7BC5FF34">
      <w:pPr>
        <w:tabs>
          <w:tab w:val="left" w:pos="980"/>
        </w:tabs>
        <w:spacing w:line="360" w:lineRule="auto"/>
        <w:ind w:firstLine="482" w:firstLineChars="200"/>
        <w:rPr>
          <w:rFonts w:hint="eastAsia" w:ascii="仿宋" w:hAnsi="仿宋" w:eastAsia="仿宋" w:cs="仿宋"/>
          <w:sz w:val="24"/>
        </w:rPr>
      </w:pPr>
      <w:r>
        <w:rPr>
          <w:rFonts w:hint="eastAsia" w:ascii="仿宋" w:hAnsi="仿宋" w:eastAsia="仿宋" w:cs="仿宋"/>
          <w:b/>
          <w:sz w:val="24"/>
        </w:rPr>
        <w:t>十</w:t>
      </w:r>
      <w:r>
        <w:rPr>
          <w:rFonts w:hint="eastAsia" w:ascii="仿宋" w:hAnsi="仿宋" w:eastAsia="仿宋" w:cs="仿宋"/>
          <w:b/>
          <w:sz w:val="24"/>
          <w:lang w:val="en-US" w:eastAsia="zh-CN"/>
        </w:rPr>
        <w:t>一</w:t>
      </w:r>
      <w:r>
        <w:rPr>
          <w:rFonts w:hint="eastAsia" w:ascii="仿宋" w:hAnsi="仿宋" w:eastAsia="仿宋" w:cs="仿宋"/>
          <w:b/>
          <w:sz w:val="24"/>
        </w:rPr>
        <w:t>、本合同一式陆份，</w:t>
      </w:r>
      <w:r>
        <w:rPr>
          <w:rFonts w:hint="eastAsia" w:ascii="仿宋" w:hAnsi="仿宋" w:eastAsia="仿宋" w:cs="仿宋"/>
          <w:sz w:val="24"/>
        </w:rPr>
        <w:t>甲方肆份，乙方贰份。签字盖章后生效，合同执行完毕自动失效。（合同的服务承诺则长期有效）。</w:t>
      </w:r>
    </w:p>
    <w:p w14:paraId="1D8A732A">
      <w:pPr>
        <w:spacing w:line="360" w:lineRule="auto"/>
        <w:ind w:firstLine="482" w:firstLineChars="200"/>
        <w:rPr>
          <w:rFonts w:hint="eastAsia" w:ascii="仿宋" w:hAnsi="仿宋" w:eastAsia="仿宋" w:cs="仿宋"/>
        </w:rPr>
      </w:pPr>
      <w:r>
        <w:rPr>
          <w:rFonts w:hint="eastAsia" w:ascii="仿宋" w:hAnsi="仿宋" w:eastAsia="仿宋" w:cs="仿宋"/>
          <w:b/>
          <w:sz w:val="24"/>
        </w:rPr>
        <w:t>十三、其它</w:t>
      </w:r>
      <w:r>
        <w:rPr>
          <w:rFonts w:hint="eastAsia" w:ascii="仿宋" w:hAnsi="仿宋" w:eastAsia="仿宋" w:cs="仿宋"/>
          <w:b/>
          <w:bCs/>
          <w:sz w:val="24"/>
        </w:rPr>
        <w:t>（乙方信息全部为必填项）</w:t>
      </w:r>
      <w:bookmarkStart w:id="0" w:name="_GoBack"/>
      <w:bookmarkEnd w:id="0"/>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398DE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C2AB48E">
            <w:pPr>
              <w:spacing w:line="360" w:lineRule="auto"/>
              <w:jc w:val="left"/>
              <w:rPr>
                <w:rFonts w:hint="eastAsia" w:ascii="仿宋" w:hAnsi="仿宋" w:eastAsia="仿宋" w:cs="仿宋"/>
                <w:sz w:val="24"/>
              </w:rPr>
            </w:pPr>
            <w:r>
              <w:rPr>
                <w:rFonts w:hint="eastAsia" w:ascii="仿宋" w:hAnsi="仿宋" w:eastAsia="仿宋" w:cs="仿宋"/>
                <w:sz w:val="24"/>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67B8819A">
            <w:pPr>
              <w:spacing w:line="360" w:lineRule="auto"/>
              <w:jc w:val="left"/>
              <w:rPr>
                <w:rFonts w:hint="eastAsia" w:ascii="仿宋" w:hAnsi="仿宋" w:eastAsia="仿宋" w:cs="仿宋"/>
                <w:sz w:val="24"/>
              </w:rPr>
            </w:pPr>
            <w:r>
              <w:rPr>
                <w:rFonts w:hint="eastAsia" w:ascii="仿宋" w:hAnsi="仿宋" w:eastAsia="仿宋" w:cs="仿宋"/>
                <w:sz w:val="24"/>
              </w:rPr>
              <w:t>乙  方</w:t>
            </w:r>
          </w:p>
        </w:tc>
      </w:tr>
      <w:tr w14:paraId="0225D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6A9CAFA">
            <w:pPr>
              <w:spacing w:line="360" w:lineRule="auto"/>
              <w:jc w:val="left"/>
              <w:rPr>
                <w:rFonts w:hint="eastAsia" w:ascii="仿宋" w:hAnsi="仿宋" w:eastAsia="仿宋" w:cs="仿宋"/>
                <w:sz w:val="24"/>
              </w:rPr>
            </w:pPr>
            <w:r>
              <w:rPr>
                <w:rFonts w:hint="eastAsia" w:ascii="仿宋" w:hAnsi="仿宋" w:eastAsia="仿宋" w:cs="仿宋"/>
                <w:sz w:val="24"/>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48443B65">
            <w:pPr>
              <w:spacing w:line="360" w:lineRule="auto"/>
              <w:jc w:val="left"/>
              <w:rPr>
                <w:rFonts w:hint="eastAsia" w:ascii="仿宋" w:hAnsi="仿宋" w:eastAsia="仿宋" w:cs="仿宋"/>
                <w:sz w:val="24"/>
              </w:rPr>
            </w:pPr>
            <w:r>
              <w:rPr>
                <w:rFonts w:hint="eastAsia" w:ascii="仿宋" w:hAnsi="仿宋" w:eastAsia="仿宋" w:cs="仿宋"/>
                <w:sz w:val="24"/>
              </w:rPr>
              <w:t>成交单位全称</w:t>
            </w:r>
          </w:p>
          <w:p w14:paraId="44AFB144">
            <w:pPr>
              <w:spacing w:line="360" w:lineRule="auto"/>
              <w:jc w:val="left"/>
              <w:rPr>
                <w:rFonts w:hint="eastAsia" w:ascii="仿宋" w:hAnsi="仿宋" w:eastAsia="仿宋" w:cs="仿宋"/>
                <w:sz w:val="24"/>
              </w:rPr>
            </w:pPr>
            <w:r>
              <w:rPr>
                <w:rFonts w:hint="eastAsia" w:ascii="仿宋" w:hAnsi="仿宋" w:eastAsia="仿宋" w:cs="仿宋"/>
                <w:sz w:val="24"/>
              </w:rPr>
              <w:t>（盖章）</w:t>
            </w:r>
          </w:p>
        </w:tc>
      </w:tr>
      <w:tr w14:paraId="143C2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8BFA2E8">
            <w:pPr>
              <w:spacing w:line="360" w:lineRule="auto"/>
              <w:jc w:val="left"/>
              <w:rPr>
                <w:rFonts w:hint="eastAsia" w:ascii="仿宋" w:hAnsi="仿宋" w:eastAsia="仿宋" w:cs="仿宋"/>
                <w:sz w:val="24"/>
              </w:rPr>
            </w:pPr>
            <w:r>
              <w:rPr>
                <w:rFonts w:hint="eastAsia" w:ascii="仿宋" w:hAnsi="仿宋" w:eastAsia="仿宋" w:cs="仿宋"/>
                <w:sz w:val="24"/>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67E480F9">
            <w:pPr>
              <w:jc w:val="left"/>
              <w:rPr>
                <w:rFonts w:hint="eastAsia" w:ascii="仿宋" w:hAnsi="仿宋" w:eastAsia="仿宋" w:cs="仿宋"/>
                <w:sz w:val="24"/>
              </w:rPr>
            </w:pPr>
            <w:r>
              <w:rPr>
                <w:rFonts w:hint="eastAsia" w:ascii="仿宋" w:hAnsi="仿宋" w:eastAsia="仿宋" w:cs="仿宋"/>
                <w:sz w:val="24"/>
              </w:rPr>
              <w:t>地址：</w:t>
            </w:r>
          </w:p>
        </w:tc>
      </w:tr>
      <w:tr w14:paraId="712DC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F282B89">
            <w:pPr>
              <w:spacing w:line="360" w:lineRule="auto"/>
              <w:jc w:val="left"/>
              <w:rPr>
                <w:rFonts w:hint="eastAsia" w:ascii="仿宋" w:hAnsi="仿宋" w:eastAsia="仿宋" w:cs="仿宋"/>
                <w:sz w:val="24"/>
              </w:rPr>
            </w:pPr>
            <w:r>
              <w:rPr>
                <w:rFonts w:hint="eastAsia" w:ascii="仿宋" w:hAnsi="仿宋" w:eastAsia="仿宋" w:cs="仿宋"/>
                <w:sz w:val="24"/>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05EF7637">
            <w:pPr>
              <w:spacing w:line="360" w:lineRule="auto"/>
              <w:jc w:val="left"/>
              <w:rPr>
                <w:rFonts w:hint="eastAsia" w:ascii="仿宋" w:hAnsi="仿宋" w:eastAsia="仿宋" w:cs="仿宋"/>
                <w:sz w:val="24"/>
              </w:rPr>
            </w:pPr>
            <w:r>
              <w:rPr>
                <w:rFonts w:hint="eastAsia" w:ascii="仿宋" w:hAnsi="仿宋" w:eastAsia="仿宋" w:cs="仿宋"/>
                <w:sz w:val="24"/>
              </w:rPr>
              <w:t>邮编：</w:t>
            </w:r>
          </w:p>
        </w:tc>
      </w:tr>
      <w:tr w14:paraId="7FA41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57AA97CE">
            <w:pPr>
              <w:spacing w:line="360" w:lineRule="auto"/>
              <w:jc w:val="left"/>
              <w:rPr>
                <w:rFonts w:hint="eastAsia" w:ascii="仿宋" w:hAnsi="仿宋" w:eastAsia="仿宋" w:cs="仿宋"/>
                <w:sz w:val="24"/>
              </w:rPr>
            </w:pPr>
            <w:r>
              <w:rPr>
                <w:rFonts w:hint="eastAsia" w:ascii="仿宋" w:hAnsi="仿宋" w:eastAsia="仿宋" w:cs="仿宋"/>
                <w:sz w:val="24"/>
              </w:rPr>
              <w:t>法定代表人：（签字）</w:t>
            </w:r>
          </w:p>
        </w:tc>
        <w:tc>
          <w:tcPr>
            <w:tcW w:w="4629" w:type="dxa"/>
            <w:tcBorders>
              <w:top w:val="single" w:color="auto" w:sz="4" w:space="0"/>
              <w:left w:val="single" w:color="auto" w:sz="4" w:space="0"/>
              <w:bottom w:val="single" w:color="auto" w:sz="4" w:space="0"/>
              <w:right w:val="single" w:color="auto" w:sz="4" w:space="0"/>
            </w:tcBorders>
            <w:vAlign w:val="center"/>
          </w:tcPr>
          <w:p w14:paraId="2A75E4BE">
            <w:pPr>
              <w:spacing w:line="360" w:lineRule="auto"/>
              <w:jc w:val="left"/>
              <w:rPr>
                <w:rFonts w:hint="eastAsia" w:ascii="仿宋" w:hAnsi="仿宋" w:eastAsia="仿宋" w:cs="仿宋"/>
                <w:sz w:val="24"/>
              </w:rPr>
            </w:pPr>
            <w:r>
              <w:rPr>
                <w:rFonts w:hint="eastAsia" w:ascii="仿宋" w:hAnsi="仿宋" w:eastAsia="仿宋" w:cs="仿宋"/>
                <w:sz w:val="24"/>
              </w:rPr>
              <w:t>法定代表人：</w:t>
            </w:r>
          </w:p>
        </w:tc>
      </w:tr>
      <w:tr w14:paraId="4F561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7FA55908">
            <w:pPr>
              <w:spacing w:line="360" w:lineRule="auto"/>
              <w:jc w:val="left"/>
              <w:rPr>
                <w:rFonts w:hint="eastAsia"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658EC98D">
            <w:pPr>
              <w:spacing w:line="360" w:lineRule="auto"/>
              <w:jc w:val="left"/>
              <w:rPr>
                <w:rFonts w:hint="eastAsia" w:ascii="仿宋" w:hAnsi="仿宋" w:eastAsia="仿宋" w:cs="仿宋"/>
                <w:sz w:val="24"/>
              </w:rPr>
            </w:pPr>
            <w:r>
              <w:rPr>
                <w:rFonts w:hint="eastAsia" w:ascii="仿宋" w:hAnsi="仿宋" w:eastAsia="仿宋" w:cs="仿宋"/>
                <w:sz w:val="24"/>
              </w:rPr>
              <w:t>被授权代表：（签字）</w:t>
            </w:r>
          </w:p>
        </w:tc>
      </w:tr>
      <w:tr w14:paraId="25617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171B21C4">
            <w:pPr>
              <w:spacing w:line="360" w:lineRule="auto"/>
              <w:jc w:val="left"/>
              <w:rPr>
                <w:rFonts w:hint="eastAsia" w:ascii="仿宋" w:hAnsi="仿宋" w:eastAsia="仿宋" w:cs="仿宋"/>
                <w:sz w:val="24"/>
              </w:rPr>
            </w:pPr>
            <w:r>
              <w:rPr>
                <w:rFonts w:hint="eastAsia" w:ascii="仿宋" w:hAnsi="仿宋" w:eastAsia="仿宋" w:cs="仿宋"/>
                <w:sz w:val="24"/>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12CCC2CD">
            <w:pPr>
              <w:spacing w:line="360" w:lineRule="auto"/>
              <w:jc w:val="left"/>
              <w:rPr>
                <w:rFonts w:hint="eastAsia" w:ascii="仿宋" w:hAnsi="仿宋" w:eastAsia="仿宋" w:cs="仿宋"/>
                <w:sz w:val="24"/>
              </w:rPr>
            </w:pPr>
            <w:r>
              <w:rPr>
                <w:rFonts w:hint="eastAsia" w:ascii="仿宋" w:hAnsi="仿宋" w:eastAsia="仿宋" w:cs="仿宋"/>
                <w:sz w:val="24"/>
              </w:rPr>
              <w:t>电话：</w:t>
            </w:r>
          </w:p>
        </w:tc>
      </w:tr>
      <w:tr w14:paraId="176F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0EBBC2D2">
            <w:pPr>
              <w:spacing w:line="360" w:lineRule="auto"/>
              <w:jc w:val="left"/>
              <w:rPr>
                <w:rFonts w:hint="eastAsia" w:ascii="仿宋" w:hAnsi="仿宋" w:eastAsia="仿宋" w:cs="仿宋"/>
                <w:sz w:val="24"/>
              </w:rPr>
            </w:pPr>
            <w:r>
              <w:rPr>
                <w:rFonts w:hint="eastAsia" w:ascii="仿宋" w:hAnsi="仿宋" w:eastAsia="仿宋" w:cs="仿宋"/>
                <w:sz w:val="24"/>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744DAA7C">
            <w:pPr>
              <w:spacing w:line="360" w:lineRule="auto"/>
              <w:jc w:val="left"/>
              <w:rPr>
                <w:rFonts w:hint="eastAsia" w:ascii="仿宋" w:hAnsi="仿宋" w:eastAsia="仿宋" w:cs="仿宋"/>
                <w:sz w:val="24"/>
              </w:rPr>
            </w:pPr>
            <w:r>
              <w:rPr>
                <w:rFonts w:hint="eastAsia" w:ascii="仿宋" w:hAnsi="仿宋" w:eastAsia="仿宋" w:cs="仿宋"/>
                <w:sz w:val="24"/>
              </w:rPr>
              <w:t>传真：</w:t>
            </w:r>
          </w:p>
        </w:tc>
      </w:tr>
      <w:tr w14:paraId="49E69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DF43C9B">
            <w:pPr>
              <w:spacing w:line="360" w:lineRule="auto"/>
              <w:jc w:val="left"/>
              <w:rPr>
                <w:rFonts w:hint="eastAsia" w:ascii="仿宋" w:hAnsi="仿宋" w:eastAsia="仿宋" w:cs="仿宋"/>
                <w:sz w:val="24"/>
              </w:rPr>
            </w:pPr>
            <w:r>
              <w:rPr>
                <w:rFonts w:hint="eastAsia" w:ascii="仿宋" w:hAnsi="仿宋" w:eastAsia="仿宋" w:cs="仿宋"/>
                <w:sz w:val="24"/>
              </w:rPr>
              <w:t>开户银行：</w:t>
            </w:r>
          </w:p>
        </w:tc>
        <w:tc>
          <w:tcPr>
            <w:tcW w:w="4629" w:type="dxa"/>
            <w:tcBorders>
              <w:top w:val="single" w:color="auto" w:sz="4" w:space="0"/>
              <w:left w:val="single" w:color="auto" w:sz="4" w:space="0"/>
              <w:bottom w:val="single" w:color="auto" w:sz="4" w:space="0"/>
              <w:right w:val="single" w:color="auto" w:sz="4" w:space="0"/>
            </w:tcBorders>
            <w:vAlign w:val="center"/>
          </w:tcPr>
          <w:p w14:paraId="7DDF7F8B">
            <w:pPr>
              <w:spacing w:line="360" w:lineRule="auto"/>
              <w:jc w:val="left"/>
              <w:rPr>
                <w:rFonts w:hint="eastAsia" w:ascii="仿宋" w:hAnsi="仿宋" w:eastAsia="仿宋" w:cs="仿宋"/>
                <w:sz w:val="24"/>
              </w:rPr>
            </w:pPr>
            <w:r>
              <w:rPr>
                <w:rFonts w:hint="eastAsia" w:ascii="仿宋" w:hAnsi="仿宋" w:eastAsia="仿宋" w:cs="仿宋"/>
                <w:sz w:val="24"/>
              </w:rPr>
              <w:t>开户银行：</w:t>
            </w:r>
          </w:p>
        </w:tc>
      </w:tr>
      <w:tr w14:paraId="20F78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CDE46AF">
            <w:pPr>
              <w:spacing w:line="360" w:lineRule="auto"/>
              <w:jc w:val="left"/>
              <w:rPr>
                <w:rFonts w:hint="eastAsia" w:ascii="仿宋" w:hAnsi="仿宋" w:eastAsia="仿宋" w:cs="仿宋"/>
                <w:sz w:val="24"/>
              </w:rPr>
            </w:pPr>
            <w:r>
              <w:rPr>
                <w:rFonts w:hint="eastAsia" w:ascii="仿宋" w:hAnsi="仿宋" w:eastAsia="仿宋" w:cs="仿宋"/>
                <w:sz w:val="24"/>
              </w:rPr>
              <w:t>账号：</w:t>
            </w:r>
          </w:p>
        </w:tc>
        <w:tc>
          <w:tcPr>
            <w:tcW w:w="4629" w:type="dxa"/>
            <w:tcBorders>
              <w:top w:val="single" w:color="auto" w:sz="4" w:space="0"/>
              <w:left w:val="single" w:color="auto" w:sz="4" w:space="0"/>
              <w:bottom w:val="single" w:color="auto" w:sz="4" w:space="0"/>
              <w:right w:val="single" w:color="auto" w:sz="4" w:space="0"/>
            </w:tcBorders>
            <w:vAlign w:val="center"/>
          </w:tcPr>
          <w:p w14:paraId="0E623CB9">
            <w:pPr>
              <w:spacing w:line="360" w:lineRule="auto"/>
              <w:jc w:val="left"/>
              <w:rPr>
                <w:rFonts w:hint="eastAsia" w:ascii="仿宋" w:hAnsi="仿宋" w:eastAsia="仿宋" w:cs="仿宋"/>
                <w:sz w:val="24"/>
              </w:rPr>
            </w:pPr>
            <w:r>
              <w:rPr>
                <w:rFonts w:hint="eastAsia" w:ascii="仿宋" w:hAnsi="仿宋" w:eastAsia="仿宋" w:cs="仿宋"/>
                <w:sz w:val="24"/>
              </w:rPr>
              <w:t>账号:</w:t>
            </w:r>
          </w:p>
        </w:tc>
      </w:tr>
      <w:tr w14:paraId="45CFD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AAA774F">
            <w:pPr>
              <w:spacing w:line="360" w:lineRule="auto"/>
              <w:jc w:val="left"/>
              <w:rPr>
                <w:rFonts w:hint="eastAsia"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4BD60430">
            <w:pPr>
              <w:spacing w:line="360" w:lineRule="auto"/>
              <w:jc w:val="left"/>
              <w:rPr>
                <w:rFonts w:hint="eastAsia" w:ascii="仿宋" w:hAnsi="仿宋" w:eastAsia="仿宋" w:cs="仿宋"/>
                <w:sz w:val="24"/>
              </w:rPr>
            </w:pPr>
            <w:r>
              <w:rPr>
                <w:rFonts w:hint="eastAsia" w:ascii="仿宋" w:hAnsi="仿宋" w:eastAsia="仿宋" w:cs="仿宋"/>
                <w:sz w:val="24"/>
              </w:rPr>
              <w:t>开户名称：</w:t>
            </w:r>
          </w:p>
        </w:tc>
      </w:tr>
      <w:tr w14:paraId="74E46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43DEB12">
            <w:pPr>
              <w:spacing w:line="360" w:lineRule="auto"/>
              <w:jc w:val="left"/>
              <w:rPr>
                <w:rFonts w:hint="eastAsia"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6E4C6026">
            <w:pPr>
              <w:spacing w:line="360" w:lineRule="auto"/>
              <w:jc w:val="left"/>
              <w:rPr>
                <w:rFonts w:hint="eastAsia" w:ascii="仿宋" w:hAnsi="仿宋" w:eastAsia="仿宋" w:cs="仿宋"/>
                <w:sz w:val="24"/>
              </w:rPr>
            </w:pPr>
            <w:r>
              <w:rPr>
                <w:rFonts w:hint="eastAsia" w:ascii="仿宋" w:hAnsi="仿宋" w:eastAsia="仿宋" w:cs="仿宋"/>
                <w:sz w:val="24"/>
              </w:rPr>
              <w:t>企业规模：</w:t>
            </w:r>
          </w:p>
        </w:tc>
      </w:tr>
      <w:tr w14:paraId="0EB7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95EC424">
            <w:pPr>
              <w:spacing w:line="360" w:lineRule="auto"/>
              <w:jc w:val="left"/>
              <w:rPr>
                <w:rFonts w:hint="eastAsia"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6112AC0E">
            <w:pPr>
              <w:spacing w:line="360" w:lineRule="auto"/>
              <w:jc w:val="left"/>
              <w:rPr>
                <w:rFonts w:hint="eastAsia" w:ascii="仿宋" w:hAnsi="仿宋" w:eastAsia="仿宋" w:cs="仿宋"/>
                <w:sz w:val="24"/>
              </w:rPr>
            </w:pPr>
            <w:r>
              <w:rPr>
                <w:rFonts w:hint="eastAsia" w:ascii="仿宋" w:hAnsi="仿宋" w:eastAsia="仿宋" w:cs="仿宋"/>
                <w:sz w:val="24"/>
              </w:rPr>
              <w:t>纳税人识别号：</w:t>
            </w:r>
          </w:p>
        </w:tc>
      </w:tr>
      <w:tr w14:paraId="5C97E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8A14638">
            <w:pPr>
              <w:spacing w:line="360" w:lineRule="auto"/>
              <w:jc w:val="left"/>
              <w:rPr>
                <w:rFonts w:hint="eastAsia" w:ascii="仿宋" w:hAnsi="仿宋" w:eastAsia="仿宋" w:cs="仿宋"/>
                <w:sz w:val="24"/>
              </w:rPr>
            </w:pPr>
            <w:r>
              <w:rPr>
                <w:rFonts w:hint="eastAsia" w:ascii="仿宋" w:hAnsi="仿宋" w:eastAsia="仿宋" w:cs="仿宋"/>
                <w:sz w:val="24"/>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1842CDBA">
            <w:pPr>
              <w:spacing w:line="360" w:lineRule="auto"/>
              <w:jc w:val="left"/>
              <w:rPr>
                <w:rFonts w:hint="eastAsia" w:ascii="仿宋" w:hAnsi="仿宋" w:eastAsia="仿宋" w:cs="仿宋"/>
                <w:sz w:val="24"/>
              </w:rPr>
            </w:pPr>
            <w:r>
              <w:rPr>
                <w:rFonts w:hint="eastAsia" w:ascii="仿宋" w:hAnsi="仿宋" w:eastAsia="仿宋" w:cs="仿宋"/>
                <w:sz w:val="24"/>
              </w:rPr>
              <w:t>日期：  年   月   日</w:t>
            </w:r>
          </w:p>
        </w:tc>
      </w:tr>
    </w:tbl>
    <w:p w14:paraId="068264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D16592"/>
    <w:rsid w:val="74D16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720"/>
      </w:tabs>
      <w:spacing w:line="0" w:lineRule="atLeast"/>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2025-09-23T03:33:00Z</dcterms:created>
  <dc:creator>緣來</dc:creator>
  <cp:lastModifiedBy>緣來</cp:lastModifiedBy>
  <dcterms:modified xsi:type="dcterms:W3CDTF">2025-09-23T03:34:02Z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1DB4F283D8404DECB6F5D55C41931960_11</vt:lpwstr>
  </property>
  <property fmtid="{D5CDD505-2E9C-101B-9397-08002B2CF9AE}" pid="4" name="KSOTemplateDocerSaveRecord">
    <vt:lpwstr>eyJoZGlkIjoiZjE1YjQ4NWY2MWE2Y2ZiNzE4NTU1MjQ3YTY1ZWQwZjAiLCJ1c2VySWQiOiI0MDY2NDY1NjQifQ==</vt:lpwstr>
  </property>
</Properties>
</file>