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版本号：ZJZB2025-QF-CG00320250924001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疫源疫病监测设施设备采购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ZJZB2025-QF-CG003</w:t>
      </w:r>
      <w:r>
        <w:br/>
      </w:r>
      <w:r>
        <w:br/>
      </w:r>
      <w:r>
        <w:br/>
      </w:r>
    </w:p>
    <w:p>
      <w:pPr>
        <w:pStyle w:val="null3"/>
        <w:jc w:val="center"/>
        <w:outlineLvl w:val="2"/>
      </w:pPr>
      <w:r>
        <w:rPr>
          <w:rFonts w:ascii="仿宋_GB2312" w:hAnsi="仿宋_GB2312" w:cs="仿宋_GB2312" w:eastAsia="仿宋_GB2312"/>
          <w:sz w:val="28"/>
          <w:b/>
        </w:rPr>
        <w:t>陕西汉中朱鹮国家级自然保护区管理局</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陕西汉中朱鹮国家级自然保护区管理局</w:t>
      </w:r>
      <w:r>
        <w:rPr>
          <w:rFonts w:ascii="仿宋_GB2312" w:hAnsi="仿宋_GB2312" w:cs="仿宋_GB2312" w:eastAsia="仿宋_GB2312"/>
        </w:rPr>
        <w:t>委托，拟对</w:t>
      </w:r>
      <w:r>
        <w:rPr>
          <w:rFonts w:ascii="仿宋_GB2312" w:hAnsi="仿宋_GB2312" w:cs="仿宋_GB2312" w:eastAsia="仿宋_GB2312"/>
        </w:rPr>
        <w:t>疫源疫病监测设施设备采购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ZJZB2025-QF-CG003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疫源疫病监测设施设备采购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科学部署高清摄像头视频数据采集设备、5km无线网桥、太阳能供电设备等设施设备，构建一套高效、稳定的疫源疫病监测系统。实现对以朱鹮为主的野生动物疫源疫病的实时监测、数据采集与传输，及时发现潜在的疫情风险，为疫源疫病的防控和管理提供有力的技术支持，保障保护区内生物的健康与安全。 需满足的要求:设备安装到位后，经调试能满足采购方正常使用需求。 建设地点位于陕西汉中市洋县，包括朱鹮国家级自然保护区、朱鹮饲养繁育中心、朱鹮种源基地以及朱鹮国家级自然保护区管理局。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p>
      <w:pPr>
        <w:pStyle w:val="null3"/>
      </w:pPr>
      <w:r>
        <w:rPr>
          <w:rFonts w:ascii="仿宋_GB2312" w:hAnsi="仿宋_GB2312" w:cs="仿宋_GB2312" w:eastAsia="仿宋_GB2312"/>
        </w:rPr>
        <w:t>3、税收缴纳证明：提供2024年10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4、社会保障资金缴纳证明：提供2024年10月1日至今已缴存的至少一个月的社会保障资金缴存单据或社保机构开具的社会保险参保缴费情况证明，依法不需要缴纳社会保障资金的单位应提供相关证明材料；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5、前三年无重大违法记录：参加政府采购活动前3年内，在经营活动中没有重大违法记录（提供书面声明）；</w:t>
      </w:r>
    </w:p>
    <w:p>
      <w:pPr>
        <w:pStyle w:val="null3"/>
      </w:pPr>
      <w:r>
        <w:rPr>
          <w:rFonts w:ascii="仿宋_GB2312" w:hAnsi="仿宋_GB2312" w:cs="仿宋_GB2312" w:eastAsia="仿宋_GB2312"/>
        </w:rPr>
        <w:t>6、履行合同所必需的设备和专业技术能力：供应商具有履行合同所必需的设备和专业技术能力（提供书面承诺）；</w:t>
      </w:r>
    </w:p>
    <w:p>
      <w:pPr>
        <w:pStyle w:val="null3"/>
      </w:pPr>
      <w:r>
        <w:rPr>
          <w:rFonts w:ascii="仿宋_GB2312" w:hAnsi="仿宋_GB2312" w:cs="仿宋_GB2312" w:eastAsia="仿宋_GB2312"/>
        </w:rPr>
        <w:t>7、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p>
      <w:pPr>
        <w:pStyle w:val="null3"/>
      </w:pPr>
      <w:r>
        <w:rPr>
          <w:rFonts w:ascii="仿宋_GB2312" w:hAnsi="仿宋_GB2312" w:cs="仿宋_GB2312" w:eastAsia="仿宋_GB2312"/>
        </w:rPr>
        <w:t>10、联合体：本项目不接受联合体投标，不允许分包（提供非联合体不分包投标声明）。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陕西汉中朱鹮国家级自然保护区管理局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洋县文明东路348号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黄宝民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0916-8212853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陕西省西安市雁塔区高新路52号高科大厦18楼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郑晨、李宏章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029-88312615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计费基数，参照《国家计委关于印发&lt;招标代理服务收费管理暂行办法&gt;的通知》（计价格[2002]1980号）和国家发改委办公厅颁发的《关于招标代理服务收费有关问题的通知》（发改办价格【2003】857号）的标准执行。领取中标通知书前，由中标供应商向代理机构缴纳代理服务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陕西汉中朱鹮国家级自然保护区管理局</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陕西汉中朱鹮国家级自然保护区管理局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陕西汉中朱鹮国家级自然保护区管理局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联系人：郑晨</w:t>
      </w:r>
    </w:p>
    <w:p>
      <w:pPr>
        <w:pStyle w:val="null3"/>
      </w:pPr>
      <w:r>
        <w:rPr>
          <w:rFonts w:ascii="仿宋_GB2312" w:hAnsi="仿宋_GB2312" w:cs="仿宋_GB2312" w:eastAsia="仿宋_GB2312"/>
        </w:rPr>
        <w:t>联系电话：029-88312615</w:t>
      </w:r>
    </w:p>
    <w:p>
      <w:pPr>
        <w:pStyle w:val="null3"/>
      </w:pPr>
      <w:r>
        <w:rPr>
          <w:rFonts w:ascii="仿宋_GB2312" w:hAnsi="仿宋_GB2312" w:cs="仿宋_GB2312" w:eastAsia="仿宋_GB2312"/>
        </w:rPr>
        <w:t>地址：陕西省西安市雁塔区高新路52号高科大厦18楼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科学部署高清摄像头视频数据采集设备、5km无线网桥、太阳能供电设备等设施设备，构建一套高效、稳定的疫源疫病监测系统。实现对以朱鹮为主的野生动物疫源疫病的实时监测、数据采集与传输，及时发现潜在的疫情风险，为疫源疫病的防控和管理提供有力的技术支持，保障保护区内生物的健康与安全。 需满足的要求:设备安装到位后，经调试能满足采购方正常使用需求。 建设地点位于陕西汉中市洋县，包括朱鹮国家级自然保护区、朱鹮饲养繁育中心、朱鹮种源基地以及朱鹮国家级自然保护区管理局。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疫源疫病监测设备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标的名称：疫源疫病监测设备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一、采购清单</w:t>
            </w:r>
          </w:p>
          <w:tbl>
            <w:tblPr>
              <w:tblInd w:type="dxa" w:w="150"/>
              <w:tblBorders>
                <w:top w:val="none" w:color="000000" w:sz="4"/>
                <w:left w:val="none" w:color="000000" w:sz="4"/>
                <w:bottom w:val="none" w:color="000000" w:sz="4"/>
                <w:right w:val="none" w:color="000000" w:sz="4"/>
                <w:insideH w:val="none"/>
                <w:insideV w:val="none"/>
              </w:tblBorders>
            </w:tblPr>
            <w:tblGrid>
              <w:gridCol w:w="386"/>
              <w:gridCol w:w="780"/>
              <w:gridCol w:w="491"/>
              <w:gridCol w:w="877"/>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r>
                    <w:rPr>
                      <w:rFonts w:ascii="仿宋_GB2312" w:hAnsi="仿宋_GB2312" w:cs="仿宋_GB2312" w:eastAsia="仿宋_GB2312"/>
                      <w:sz w:val="21"/>
                    </w:rPr>
                    <w:t>名称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数量（单位）</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高清摄像头视频数据采集设备</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10台</w:t>
                  </w:r>
                </w:p>
              </w:tc>
              <w:tc>
                <w:tcPr>
                  <w:tcW w:type="dxa" w:w="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21"/>
                    </w:rPr>
                    <w:t>400万像素以上，激光功能</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5km无线网桥</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7对</w:t>
                  </w:r>
                </w:p>
              </w:tc>
              <w:tc>
                <w:tcPr>
                  <w:tcW w:type="dxa" w:w="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21"/>
                    </w:rPr>
                    <w:t>支持</w:t>
                  </w:r>
                  <w:r>
                    <w:rPr>
                      <w:rFonts w:ascii="仿宋_GB2312" w:hAnsi="仿宋_GB2312" w:cs="仿宋_GB2312" w:eastAsia="仿宋_GB2312"/>
                      <w:sz w:val="21"/>
                    </w:rPr>
                    <w:t>802.11a/n标准，</w:t>
                  </w:r>
                  <w:r>
                    <w:rPr>
                      <w:rFonts w:ascii="仿宋_GB2312" w:hAnsi="仿宋_GB2312" w:cs="仿宋_GB2312" w:eastAsia="仿宋_GB2312"/>
                      <w:sz w:val="19"/>
                    </w:rPr>
                    <w:t>▲</w:t>
                  </w:r>
                  <w:r>
                    <w:rPr>
                      <w:rFonts w:ascii="仿宋_GB2312" w:hAnsi="仿宋_GB2312" w:cs="仿宋_GB2312" w:eastAsia="仿宋_GB2312"/>
                      <w:sz w:val="21"/>
                    </w:rPr>
                    <w:t>传输速率</w:t>
                  </w:r>
                  <w:r>
                    <w:rPr>
                      <w:rFonts w:ascii="仿宋_GB2312" w:hAnsi="仿宋_GB2312" w:cs="仿宋_GB2312" w:eastAsia="仿宋_GB2312"/>
                      <w:sz w:val="21"/>
                    </w:rPr>
                    <w:t>≥300Mbps</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太阳能供电设备</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8套</w:t>
                  </w:r>
                </w:p>
              </w:tc>
              <w:tc>
                <w:tcPr>
                  <w:tcW w:type="dxa" w:w="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w:t>
                  </w:r>
                  <w:r>
                    <w:rPr>
                      <w:rFonts w:ascii="仿宋_GB2312" w:hAnsi="仿宋_GB2312" w:cs="仿宋_GB2312" w:eastAsia="仿宋_GB2312"/>
                      <w:sz w:val="19"/>
                    </w:rPr>
                    <w:t>▲</w:t>
                  </w:r>
                  <w:r>
                    <w:rPr>
                      <w:rFonts w:ascii="仿宋_GB2312" w:hAnsi="仿宋_GB2312" w:cs="仿宋_GB2312" w:eastAsia="仿宋_GB2312"/>
                      <w:sz w:val="21"/>
                    </w:rPr>
                    <w:t>380W太阳能板、</w:t>
                  </w:r>
                  <w:r>
                    <w:rPr>
                      <w:rFonts w:ascii="仿宋_GB2312" w:hAnsi="仿宋_GB2312" w:cs="仿宋_GB2312" w:eastAsia="仿宋_GB2312"/>
                      <w:sz w:val="19"/>
                    </w:rPr>
                    <w:t>▲</w:t>
                  </w:r>
                  <w:r>
                    <w:rPr>
                      <w:rFonts w:ascii="仿宋_GB2312" w:hAnsi="仿宋_GB2312" w:cs="仿宋_GB2312" w:eastAsia="仿宋_GB2312"/>
                      <w:sz w:val="21"/>
                    </w:rPr>
                    <w:t>200AH蓄电池、控制器</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6m立杆及基础</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10套</w:t>
                  </w:r>
                </w:p>
              </w:tc>
              <w:tc>
                <w:tcPr>
                  <w:tcW w:type="dxa" w:w="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热镀锌钢制，混凝土基础</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网络传输系统</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4条</w:t>
                  </w:r>
                </w:p>
              </w:tc>
              <w:tc>
                <w:tcPr>
                  <w:tcW w:type="dxa" w:w="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10M专线</w:t>
                  </w:r>
                </w:p>
              </w:tc>
            </w:tr>
          </w:tbl>
          <w:p>
            <w:pPr>
              <w:pStyle w:val="null3"/>
            </w:pPr>
            <w:r>
              <w:rPr>
                <w:rFonts w:ascii="仿宋_GB2312" w:hAnsi="仿宋_GB2312" w:cs="仿宋_GB2312" w:eastAsia="仿宋_GB2312"/>
                <w:sz w:val="24"/>
                <w:b/>
              </w:rPr>
              <w:t>二、技术参数</w:t>
            </w:r>
          </w:p>
          <w:tbl>
            <w:tblPr>
              <w:tblBorders>
                <w:top w:val="none" w:color="000000" w:sz="4"/>
                <w:left w:val="none" w:color="000000" w:sz="4"/>
                <w:bottom w:val="none" w:color="000000" w:sz="4"/>
                <w:right w:val="none" w:color="000000" w:sz="4"/>
                <w:insideH w:val="none"/>
                <w:insideV w:val="none"/>
              </w:tblBorders>
            </w:tblPr>
            <w:tblGrid>
              <w:gridCol w:w="391"/>
              <w:gridCol w:w="257"/>
              <w:gridCol w:w="257"/>
              <w:gridCol w:w="1627"/>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rPr>
                    <w:t>技术参数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高清摄像头视频数据采集设备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1.摄像机靶面尺寸不小于1/1.2英寸</w:t>
                  </w:r>
                </w:p>
                <w:p>
                  <w:pPr>
                    <w:pStyle w:val="null3"/>
                    <w:jc w:val="both"/>
                  </w:pPr>
                  <w:r>
                    <w:rPr>
                      <w:rFonts w:ascii="仿宋_GB2312" w:hAnsi="仿宋_GB2312" w:cs="仿宋_GB2312" w:eastAsia="仿宋_GB2312"/>
                      <w:sz w:val="21"/>
                    </w:rPr>
                    <w:t>2.内置GPU芯片。</w:t>
                  </w:r>
                </w:p>
                <w:p>
                  <w:pPr>
                    <w:pStyle w:val="null3"/>
                    <w:jc w:val="both"/>
                  </w:pPr>
                  <w:r>
                    <w:rPr>
                      <w:rFonts w:ascii="仿宋_GB2312" w:hAnsi="仿宋_GB2312" w:cs="仿宋_GB2312" w:eastAsia="仿宋_GB2312"/>
                      <w:sz w:val="21"/>
                    </w:rPr>
                    <w:t>3.摄像机内置镜头，支持不小于53倍光学变倍，镜头最大焦距不小于350mm。</w:t>
                  </w:r>
                </w:p>
                <w:p>
                  <w:pPr>
                    <w:pStyle w:val="null3"/>
                    <w:jc w:val="both"/>
                  </w:pPr>
                  <w:r>
                    <w:rPr>
                      <w:rFonts w:ascii="仿宋_GB2312" w:hAnsi="仿宋_GB2312" w:cs="仿宋_GB2312" w:eastAsia="仿宋_GB2312"/>
                      <w:sz w:val="21"/>
                    </w:rPr>
                    <w:t>4.视频分辨率与帧率不小于2560×1440、25帧/秒。</w:t>
                  </w:r>
                </w:p>
                <w:p>
                  <w:pPr>
                    <w:pStyle w:val="null3"/>
                    <w:jc w:val="both"/>
                  </w:pPr>
                  <w:r>
                    <w:rPr>
                      <w:rFonts w:ascii="仿宋_GB2312" w:hAnsi="仿宋_GB2312" w:cs="仿宋_GB2312" w:eastAsia="仿宋_GB2312"/>
                      <w:sz w:val="21"/>
                    </w:rPr>
                    <w:t>5.最低照度：彩色0.0005 lx，黑白0.0001 lx。</w:t>
                  </w:r>
                </w:p>
                <w:p>
                  <w:pPr>
                    <w:pStyle w:val="null3"/>
                    <w:jc w:val="both"/>
                  </w:pPr>
                  <w:r>
                    <w:rPr>
                      <w:rFonts w:ascii="仿宋_GB2312" w:hAnsi="仿宋_GB2312" w:cs="仿宋_GB2312" w:eastAsia="仿宋_GB2312"/>
                      <w:sz w:val="21"/>
                    </w:rPr>
                    <w:t>6.具有 VR 展示功能，可在客户端软件展示生成的全景图和实时视频；全景图可与实时视频联动，可通过点击全景图，使实时视频画面转动至点击位置。</w:t>
                  </w:r>
                </w:p>
                <w:p>
                  <w:pPr>
                    <w:pStyle w:val="null3"/>
                    <w:jc w:val="both"/>
                  </w:pPr>
                  <w:r>
                    <w:rPr>
                      <w:rFonts w:ascii="仿宋_GB2312" w:hAnsi="仿宋_GB2312" w:cs="仿宋_GB2312" w:eastAsia="仿宋_GB2312"/>
                      <w:sz w:val="21"/>
                    </w:rPr>
                    <w:t>7.激光距离不小于500m。</w:t>
                  </w:r>
                </w:p>
                <w:p>
                  <w:pPr>
                    <w:pStyle w:val="null3"/>
                    <w:jc w:val="both"/>
                  </w:pPr>
                  <w:r>
                    <w:rPr>
                      <w:rFonts w:ascii="仿宋_GB2312" w:hAnsi="仿宋_GB2312" w:cs="仿宋_GB2312" w:eastAsia="仿宋_GB2312"/>
                      <w:sz w:val="21"/>
                    </w:rPr>
                    <w:t>8.smart事件上报的抓图支持叠加规则区域和目标框：可配置报警抓图叠加目标信息及规则信息，支持开启及关闭。支持设置预览画面是否叠加显示规则区域框及告警提示信息。</w:t>
                  </w:r>
                </w:p>
                <w:p>
                  <w:pPr>
                    <w:pStyle w:val="null3"/>
                    <w:jc w:val="both"/>
                  </w:pPr>
                  <w:r>
                    <w:rPr>
                      <w:rFonts w:ascii="仿宋_GB2312" w:hAnsi="仿宋_GB2312" w:cs="仿宋_GB2312" w:eastAsia="仿宋_GB2312"/>
                      <w:sz w:val="21"/>
                    </w:rPr>
                    <w:t>9.设备支持水平旋转范围为360°连续旋转，垂直旋转范围为-20°~90°</w:t>
                  </w:r>
                </w:p>
                <w:p>
                  <w:pPr>
                    <w:pStyle w:val="null3"/>
                    <w:jc w:val="both"/>
                  </w:pPr>
                  <w:r>
                    <w:rPr>
                      <w:rFonts w:ascii="仿宋_GB2312" w:hAnsi="仿宋_GB2312" w:cs="仿宋_GB2312" w:eastAsia="仿宋_GB2312"/>
                      <w:sz w:val="21"/>
                    </w:rPr>
                    <w:t>10.支持不少于7路报警输入，2路报警输出，支持1路音频输入和输出接口。</w:t>
                  </w:r>
                </w:p>
                <w:p>
                  <w:pPr>
                    <w:pStyle w:val="null3"/>
                    <w:jc w:val="both"/>
                  </w:pPr>
                  <w:r>
                    <w:rPr>
                      <w:rFonts w:ascii="仿宋_GB2312" w:hAnsi="仿宋_GB2312" w:cs="仿宋_GB2312" w:eastAsia="仿宋_GB2312"/>
                      <w:sz w:val="21"/>
                    </w:rPr>
                    <w:t>11.设备具有光学防抖功能，将镜头倍率设置为最大，快门设置为1/25s，在振动台振幅不大于0.3°，振动频率不大于10Hz情况下，设备视场角应无明显变化，视频图像在振动过程中应保持稳定清晰。</w:t>
                  </w:r>
                </w:p>
                <w:p>
                  <w:pPr>
                    <w:pStyle w:val="null3"/>
                    <w:jc w:val="both"/>
                  </w:pPr>
                  <w:r>
                    <w:rPr>
                      <w:rFonts w:ascii="仿宋_GB2312" w:hAnsi="仿宋_GB2312" w:cs="仿宋_GB2312" w:eastAsia="仿宋_GB2312"/>
                      <w:sz w:val="21"/>
                    </w:rPr>
                    <w:t>12.支持300个预置位，可设置8条巡航路径。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5km无线网桥</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1.采用强大的嵌入式系统架构，高性能处理芯片，高性能、实时、多线程处理操作系统平台。支持共模（DM）6Kv/差模（CM）2Kv浪涌防护，支持16Kv  ESD防护。</w:t>
                  </w:r>
                </w:p>
                <w:p>
                  <w:pPr>
                    <w:pStyle w:val="null3"/>
                    <w:jc w:val="both"/>
                  </w:pPr>
                  <w:r>
                    <w:rPr>
                      <w:rFonts w:ascii="仿宋_GB2312" w:hAnsi="仿宋_GB2312" w:cs="仿宋_GB2312" w:eastAsia="仿宋_GB2312"/>
                      <w:sz w:val="21"/>
                    </w:rPr>
                    <w:t>2.具备1*100M RJ45接口，集成一体化18dBi 17°双极化定向天线。设备支持透气功能，且透气量不低于210ml/min/cm²（压差=70mbar）标准。</w:t>
                  </w:r>
                </w:p>
                <w:p>
                  <w:pPr>
                    <w:pStyle w:val="null3"/>
                    <w:jc w:val="both"/>
                  </w:pPr>
                  <w:r>
                    <w:rPr>
                      <w:rFonts w:ascii="仿宋_GB2312" w:hAnsi="仿宋_GB2312" w:cs="仿宋_GB2312" w:eastAsia="仿宋_GB2312"/>
                      <w:sz w:val="21"/>
                    </w:rPr>
                    <w:t>3.无线网桥设备平均无故障时间不小于15万小时。</w:t>
                  </w:r>
                </w:p>
                <w:p>
                  <w:pPr>
                    <w:pStyle w:val="null3"/>
                    <w:jc w:val="both"/>
                  </w:pPr>
                  <w:r>
                    <w:rPr>
                      <w:rFonts w:ascii="仿宋_GB2312" w:hAnsi="仿宋_GB2312" w:cs="仿宋_GB2312" w:eastAsia="仿宋_GB2312"/>
                      <w:sz w:val="21"/>
                    </w:rPr>
                    <w:t>4.支持5.8GHz，</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802.11a/n协议，</w:t>
                  </w:r>
                  <w:r>
                    <w:rPr>
                      <w:rFonts w:ascii="仿宋_GB2312" w:hAnsi="仿宋_GB2312" w:cs="仿宋_GB2312" w:eastAsia="仿宋_GB2312"/>
                      <w:sz w:val="21"/>
                    </w:rPr>
                    <w:t>▲</w:t>
                  </w:r>
                  <w:r>
                    <w:rPr>
                      <w:rFonts w:ascii="仿宋_GB2312" w:hAnsi="仿宋_GB2312" w:cs="仿宋_GB2312" w:eastAsia="仿宋_GB2312"/>
                      <w:sz w:val="21"/>
                    </w:rPr>
                    <w:t>传输速率</w:t>
                  </w:r>
                  <w:r>
                    <w:rPr>
                      <w:rFonts w:ascii="仿宋_GB2312" w:hAnsi="仿宋_GB2312" w:cs="仿宋_GB2312" w:eastAsia="仿宋_GB2312"/>
                      <w:sz w:val="21"/>
                    </w:rPr>
                    <w:t>≥</w:t>
                  </w:r>
                  <w:r>
                    <w:rPr>
                      <w:rFonts w:ascii="仿宋_GB2312" w:hAnsi="仿宋_GB2312" w:cs="仿宋_GB2312" w:eastAsia="仿宋_GB2312"/>
                      <w:sz w:val="21"/>
                    </w:rPr>
                    <w:t>300Mbps，发射功率不小于26dBm。在干扰恶劣环境下，可提供多个互不干扰频点，回避干扰；无线网桥设备或系统在电磁环境中可以符合要求运行并不对环境中的任何设备产生无法忍受的电磁干扰。</w:t>
                  </w:r>
                </w:p>
                <w:p>
                  <w:pPr>
                    <w:pStyle w:val="null3"/>
                    <w:jc w:val="both"/>
                  </w:pPr>
                  <w:r>
                    <w:rPr>
                      <w:rFonts w:ascii="仿宋_GB2312" w:hAnsi="仿宋_GB2312" w:cs="仿宋_GB2312" w:eastAsia="仿宋_GB2312"/>
                      <w:sz w:val="21"/>
                    </w:rPr>
                    <w:t>5.具有双向自适应调制能力，能自动依次调节无线链路质量，优化了频谱利用率解决信号衰减；支持-40~75℃工作温度；防护等级不小于IP68。</w:t>
                  </w:r>
                </w:p>
                <w:p>
                  <w:pPr>
                    <w:pStyle w:val="null3"/>
                    <w:jc w:val="both"/>
                  </w:pPr>
                  <w:r>
                    <w:rPr>
                      <w:rFonts w:ascii="仿宋_GB2312" w:hAnsi="仿宋_GB2312" w:cs="仿宋_GB2312" w:eastAsia="仿宋_GB2312"/>
                      <w:sz w:val="21"/>
                    </w:rPr>
                    <w:t>6.支持点对点（PTP）及点对多点（PTMP）应用；高速远距离通信，保证远距离，高带宽，高稳定性业务要求。</w:t>
                  </w:r>
                </w:p>
                <w:p>
                  <w:pPr>
                    <w:pStyle w:val="null3"/>
                    <w:jc w:val="both"/>
                  </w:pPr>
                  <w:r>
                    <w:rPr>
                      <w:rFonts w:ascii="仿宋_GB2312" w:hAnsi="仿宋_GB2312" w:cs="仿宋_GB2312" w:eastAsia="仿宋_GB2312"/>
                      <w:sz w:val="21"/>
                    </w:rPr>
                    <w:t>7.支持 WMM 优先策略，保证高质量的数据、语音、视频等实时业务；支持生成树协议，自动选择数据链路，扩展多线路备份功能，可适用于高要求数据传输环境。</w:t>
                  </w:r>
                </w:p>
                <w:p>
                  <w:pPr>
                    <w:pStyle w:val="null3"/>
                    <w:jc w:val="both"/>
                  </w:pPr>
                  <w:r>
                    <w:rPr>
                      <w:rFonts w:ascii="仿宋_GB2312" w:hAnsi="仿宋_GB2312" w:cs="仿宋_GB2312" w:eastAsia="仿宋_GB2312"/>
                      <w:sz w:val="21"/>
                    </w:rPr>
                    <w:t>8.碰撞测试、冲击测试指标符合国家GBT 2423.5-2019标准要求。</w:t>
                  </w:r>
                </w:p>
                <w:p>
                  <w:pPr>
                    <w:pStyle w:val="null3"/>
                    <w:jc w:val="both"/>
                  </w:pPr>
                  <w:r>
                    <w:rPr>
                      <w:rFonts w:ascii="仿宋_GB2312" w:hAnsi="仿宋_GB2312" w:cs="仿宋_GB2312" w:eastAsia="仿宋_GB2312"/>
                      <w:sz w:val="21"/>
                    </w:rPr>
                    <w:t>9.支持 WEP、WPA/WPA2 PSK EAP 等安全加密算法</w:t>
                  </w:r>
                  <w:r>
                    <w:rPr>
                      <w:rFonts w:ascii="仿宋_GB2312" w:hAnsi="仿宋_GB2312" w:cs="仿宋_GB2312" w:eastAsia="仿宋_GB2312"/>
                      <w:sz w:val="21"/>
                    </w:rPr>
                    <w:t>，</w:t>
                  </w:r>
                  <w:r>
                    <w:rPr>
                      <w:rFonts w:ascii="仿宋_GB2312" w:hAnsi="仿宋_GB2312" w:cs="仿宋_GB2312" w:eastAsia="仿宋_GB2312"/>
                      <w:sz w:val="21"/>
                    </w:rPr>
                    <w:t>支持私有协议加密；支持</w:t>
                  </w:r>
                  <w:r>
                    <w:rPr>
                      <w:rFonts w:ascii="仿宋_GB2312" w:hAnsi="仿宋_GB2312" w:cs="仿宋_GB2312" w:eastAsia="仿宋_GB2312"/>
                      <w:sz w:val="21"/>
                    </w:rPr>
                    <w:t>TDMA，LD, FAP，CSMA/CA，TCP/IP，PPPOE 等传输协议。</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太阳能供电设备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1.太阳能光伏组件（3块）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1）晶片类型：晶体硅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2）组件功率：</w:t>
                  </w:r>
                  <w:r>
                    <w:rPr>
                      <w:rFonts w:ascii="仿宋_GB2312" w:hAnsi="仿宋_GB2312" w:cs="仿宋_GB2312" w:eastAsia="仿宋_GB2312"/>
                      <w:sz w:val="21"/>
                    </w:rPr>
                    <w:t>▲</w:t>
                  </w:r>
                  <w:r>
                    <w:rPr>
                      <w:rFonts w:ascii="仿宋_GB2312" w:hAnsi="仿宋_GB2312" w:cs="仿宋_GB2312" w:eastAsia="仿宋_GB2312"/>
                      <w:sz w:val="21"/>
                    </w:rPr>
                    <w:t>380Wp，数量：3块；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3）组件效率：≥17.5%，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4）寿命：不少于25年。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5）25年线性功率保证：10年≥90%，25年≥80%；</w:t>
                  </w:r>
                </w:p>
                <w:p>
                  <w:pPr>
                    <w:pStyle w:val="null3"/>
                    <w:jc w:val="both"/>
                  </w:pPr>
                  <w:r>
                    <w:rPr>
                      <w:rFonts w:ascii="仿宋_GB2312" w:hAnsi="仿宋_GB2312" w:cs="仿宋_GB2312" w:eastAsia="仿宋_GB2312"/>
                      <w:sz w:val="21"/>
                    </w:rPr>
                    <w:t>2.太阳能控制器（1台）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1）充电技术：采用MPPT最大功率点追踪技术，充电效率提高25%以上；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2）通讯：基于RS-485通讯总线的标准Modbus通讯协议，可远程开启关闭负载；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3）电气保护：反接保护、短路保护、高温保护、蓄电池过充、过放保护，负载过载等多种保护；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4）多样负载控制方式：纯光控、光控启动+延时关闭、定时控制、手动开关；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5）充放电管理：控制器充电及负载放电管理功能；</w:t>
                  </w:r>
                </w:p>
                <w:p>
                  <w:pPr>
                    <w:pStyle w:val="null3"/>
                    <w:jc w:val="both"/>
                  </w:pPr>
                  <w:r>
                    <w:rPr>
                      <w:rFonts w:ascii="仿宋_GB2312" w:hAnsi="仿宋_GB2312" w:cs="仿宋_GB2312" w:eastAsia="仿宋_GB2312"/>
                      <w:sz w:val="21"/>
                    </w:rPr>
                    <w:t>3.太阳能蓄电池（6只）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1）蓄电池类型：太阳能储能专用免维护胶体蓄电池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2）单只蓄电池容量：12V </w:t>
                  </w:r>
                  <w:r>
                    <w:rPr>
                      <w:rFonts w:ascii="仿宋_GB2312" w:hAnsi="仿宋_GB2312" w:cs="仿宋_GB2312" w:eastAsia="仿宋_GB2312"/>
                      <w:sz w:val="21"/>
                    </w:rPr>
                    <w:t>▲</w:t>
                  </w:r>
                  <w:r>
                    <w:rPr>
                      <w:rFonts w:ascii="仿宋_GB2312" w:hAnsi="仿宋_GB2312" w:cs="仿宋_GB2312" w:eastAsia="仿宋_GB2312"/>
                      <w:sz w:val="21"/>
                    </w:rPr>
                    <w:t>200AH，数量：6只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3）低温工作性能：-40℃条件下蓄电池充放电效率不低于60％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4）高温工作性能：40℃条件下蓄电池充放电效率不低于95％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5）蓄电池循环寿命：70%DOD下蓄电池循环寿命≥1000times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6）工艺：电解质采用先进的气相二氧化硅；隔板采用先进的PVC-SiO</w:t>
                  </w:r>
                  <w:r>
                    <w:rPr>
                      <w:rFonts w:ascii="仿宋_GB2312" w:hAnsi="仿宋_GB2312" w:cs="仿宋_GB2312" w:eastAsia="仿宋_GB2312"/>
                      <w:sz w:val="21"/>
                      <w:vertAlign w:val="subscript"/>
                    </w:rPr>
                    <w:t>2</w:t>
                  </w:r>
                  <w:r>
                    <w:rPr>
                      <w:rFonts w:ascii="仿宋_GB2312" w:hAnsi="仿宋_GB2312" w:cs="仿宋_GB2312" w:eastAsia="仿宋_GB2312"/>
                      <w:sz w:val="21"/>
                    </w:rPr>
                    <w:t>胶体电池专用隔板；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7）防护等级：具有防潮、防腐、保温隔热、通气等功能；</w:t>
                  </w:r>
                </w:p>
                <w:p>
                  <w:pPr>
                    <w:pStyle w:val="null3"/>
                    <w:jc w:val="both"/>
                  </w:pPr>
                  <w:r>
                    <w:rPr>
                      <w:rFonts w:ascii="仿宋_GB2312" w:hAnsi="仿宋_GB2312" w:cs="仿宋_GB2312" w:eastAsia="仿宋_GB2312"/>
                      <w:sz w:val="21"/>
                    </w:rPr>
                    <w:t>4.逆变器（1台）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1）输出功率：260W，工频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2）输入电压：DC24V（21.0V～30.0V）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3）输出电压：230VAC±5%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4）最大效率：88%</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5）输出波形：纯正弦波输出（失真率&lt;3%）</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6m立杆及基础</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杆高</w:t>
                  </w:r>
                  <w:r>
                    <w:rPr>
                      <w:rFonts w:ascii="仿宋_GB2312" w:hAnsi="仿宋_GB2312" w:cs="仿宋_GB2312" w:eastAsia="仿宋_GB2312"/>
                      <w:sz w:val="21"/>
                    </w:rPr>
                    <w:t>6m，壁厚4mm，地笼400*400*1200*M20*6根</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网络传输</w:t>
                  </w:r>
                </w:p>
                <w:p>
                  <w:pPr>
                    <w:pStyle w:val="null3"/>
                    <w:jc w:val="center"/>
                  </w:pPr>
                  <w:r>
                    <w:rPr>
                      <w:rFonts w:ascii="仿宋_GB2312" w:hAnsi="仿宋_GB2312" w:cs="仿宋_GB2312" w:eastAsia="仿宋_GB2312"/>
                      <w:sz w:val="21"/>
                    </w:rPr>
                    <w:t>系统</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10M专线</w:t>
                  </w:r>
                </w:p>
              </w:tc>
            </w:tr>
          </w:tbl>
          <w:p>
            <w:pPr>
              <w:pStyle w:val="null3"/>
            </w:pPr>
            <w:r>
              <w:rPr>
                <w:rFonts w:ascii="仿宋_GB2312" w:hAnsi="仿宋_GB2312" w:cs="仿宋_GB2312" w:eastAsia="仿宋_GB2312"/>
                <w:sz w:val="21"/>
                <w:b/>
              </w:rPr>
              <w:t>备注：高清摄像头视频数据采集设备是核心设备</w:t>
            </w:r>
            <w:r>
              <w:rPr>
                <w:rFonts w:ascii="仿宋_GB2312" w:hAnsi="仿宋_GB2312" w:cs="仿宋_GB2312" w:eastAsia="仿宋_GB2312"/>
                <w:sz w:val="21"/>
                <w:b/>
              </w:rPr>
              <w:t>。</w:t>
            </w:r>
          </w:p>
          <w:p>
            <w:pPr>
              <w:pStyle w:val="null3"/>
            </w:pPr>
            <w:r>
              <w:rPr>
                <w:rFonts w:ascii="仿宋_GB2312" w:hAnsi="仿宋_GB2312" w:cs="仿宋_GB2312" w:eastAsia="仿宋_GB2312"/>
                <w:sz w:val="21"/>
                <w:b/>
              </w:rPr>
              <w:t>三、</w:t>
            </w:r>
            <w:r>
              <w:rPr>
                <w:rFonts w:ascii="仿宋_GB2312" w:hAnsi="仿宋_GB2312" w:cs="仿宋_GB2312" w:eastAsia="仿宋_GB2312"/>
                <w:sz w:val="21"/>
                <w:b/>
              </w:rPr>
              <w:t>系统设计</w:t>
            </w:r>
          </w:p>
          <w:p>
            <w:pPr>
              <w:pStyle w:val="null3"/>
              <w:jc w:val="both"/>
            </w:pPr>
            <w:r>
              <w:rPr>
                <w:rFonts w:ascii="仿宋_GB2312" w:hAnsi="仿宋_GB2312" w:cs="仿宋_GB2312" w:eastAsia="仿宋_GB2312"/>
                <w:sz w:val="21"/>
              </w:rPr>
              <w:t>1.系统组成</w:t>
            </w:r>
          </w:p>
          <w:p>
            <w:pPr>
              <w:pStyle w:val="null3"/>
              <w:jc w:val="both"/>
            </w:pPr>
            <w:r>
              <w:rPr>
                <w:rFonts w:ascii="仿宋_GB2312" w:hAnsi="仿宋_GB2312" w:cs="仿宋_GB2312" w:eastAsia="仿宋_GB2312"/>
                <w:sz w:val="21"/>
              </w:rPr>
              <w:t>①前端采集层</w:t>
            </w:r>
          </w:p>
          <w:p>
            <w:pPr>
              <w:pStyle w:val="null3"/>
              <w:jc w:val="both"/>
            </w:pPr>
            <w:r>
              <w:rPr>
                <w:rFonts w:ascii="仿宋_GB2312" w:hAnsi="仿宋_GB2312" w:cs="仿宋_GB2312" w:eastAsia="仿宋_GB2312"/>
                <w:sz w:val="21"/>
              </w:rPr>
              <w:t>部署</w:t>
            </w:r>
            <w:r>
              <w:rPr>
                <w:rFonts w:ascii="仿宋_GB2312" w:hAnsi="仿宋_GB2312" w:cs="仿宋_GB2312" w:eastAsia="仿宋_GB2312"/>
                <w:sz w:val="21"/>
              </w:rPr>
              <w:t>10台高清摄像头，覆盖保护区重点监测区域；</w:t>
            </w:r>
          </w:p>
          <w:p>
            <w:pPr>
              <w:pStyle w:val="null3"/>
              <w:jc w:val="both"/>
            </w:pPr>
            <w:r>
              <w:rPr>
                <w:rFonts w:ascii="仿宋_GB2312" w:hAnsi="仿宋_GB2312" w:cs="仿宋_GB2312" w:eastAsia="仿宋_GB2312"/>
                <w:sz w:val="21"/>
              </w:rPr>
              <w:t>每台摄像头配备独立</w:t>
            </w:r>
            <w:r>
              <w:rPr>
                <w:rFonts w:ascii="仿宋_GB2312" w:hAnsi="仿宋_GB2312" w:cs="仿宋_GB2312" w:eastAsia="仿宋_GB2312"/>
                <w:sz w:val="21"/>
              </w:rPr>
              <w:t>6m立杆，确保监控视野；</w:t>
            </w:r>
          </w:p>
          <w:p>
            <w:pPr>
              <w:pStyle w:val="null3"/>
              <w:jc w:val="both"/>
            </w:pPr>
            <w:r>
              <w:rPr>
                <w:rFonts w:ascii="仿宋_GB2312" w:hAnsi="仿宋_GB2312" w:cs="仿宋_GB2312" w:eastAsia="仿宋_GB2312"/>
                <w:sz w:val="21"/>
              </w:rPr>
              <w:t>8套太阳能供电系统为设备提供电力。</w:t>
            </w:r>
          </w:p>
          <w:p>
            <w:pPr>
              <w:pStyle w:val="null3"/>
              <w:jc w:val="both"/>
            </w:pPr>
            <w:r>
              <w:rPr>
                <w:rFonts w:ascii="仿宋_GB2312" w:hAnsi="仿宋_GB2312" w:cs="仿宋_GB2312" w:eastAsia="仿宋_GB2312"/>
                <w:sz w:val="21"/>
              </w:rPr>
              <w:t>②网络传输层</w:t>
            </w:r>
          </w:p>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7对5km无线网桥构建网络，实现前端设备与数据中心的无线数据传输；</w:t>
            </w:r>
          </w:p>
          <w:p>
            <w:pPr>
              <w:pStyle w:val="null3"/>
              <w:jc w:val="both"/>
            </w:pPr>
            <w:r>
              <w:rPr>
                <w:rFonts w:ascii="仿宋_GB2312" w:hAnsi="仿宋_GB2312" w:cs="仿宋_GB2312" w:eastAsia="仿宋_GB2312"/>
                <w:sz w:val="21"/>
              </w:rPr>
              <w:t>4条网络专线保障数据传输稳定性。</w:t>
            </w:r>
          </w:p>
          <w:p>
            <w:pPr>
              <w:pStyle w:val="null3"/>
              <w:jc w:val="both"/>
            </w:pPr>
            <w:r>
              <w:rPr>
                <w:rFonts w:ascii="仿宋_GB2312" w:hAnsi="仿宋_GB2312" w:cs="仿宋_GB2312" w:eastAsia="仿宋_GB2312"/>
                <w:sz w:val="21"/>
              </w:rPr>
              <w:t>③数据中心</w:t>
            </w:r>
          </w:p>
          <w:p>
            <w:pPr>
              <w:pStyle w:val="null3"/>
              <w:jc w:val="both"/>
            </w:pPr>
            <w:r>
              <w:rPr>
                <w:rFonts w:ascii="仿宋_GB2312" w:hAnsi="仿宋_GB2312" w:cs="仿宋_GB2312" w:eastAsia="仿宋_GB2312"/>
                <w:sz w:val="21"/>
              </w:rPr>
              <w:t>利用已有的存储设备实现视频存储周期</w:t>
            </w:r>
            <w:r>
              <w:rPr>
                <w:rFonts w:ascii="仿宋_GB2312" w:hAnsi="仿宋_GB2312" w:cs="仿宋_GB2312" w:eastAsia="仿宋_GB2312"/>
                <w:sz w:val="21"/>
              </w:rPr>
              <w:t>≥30天；</w:t>
            </w:r>
          </w:p>
          <w:p>
            <w:pPr>
              <w:pStyle w:val="null3"/>
              <w:jc w:val="both"/>
            </w:pPr>
            <w:r>
              <w:rPr>
                <w:rFonts w:ascii="仿宋_GB2312" w:hAnsi="仿宋_GB2312" w:cs="仿宋_GB2312" w:eastAsia="仿宋_GB2312"/>
                <w:sz w:val="21"/>
              </w:rPr>
              <w:t>监控管理平台：支持多画面显示、智能分析。</w:t>
            </w:r>
          </w:p>
          <w:p>
            <w:pPr>
              <w:pStyle w:val="null3"/>
              <w:jc w:val="both"/>
            </w:pPr>
            <w:r>
              <w:rPr>
                <w:rFonts w:ascii="仿宋_GB2312" w:hAnsi="仿宋_GB2312" w:cs="仿宋_GB2312" w:eastAsia="仿宋_GB2312"/>
                <w:sz w:val="21"/>
              </w:rPr>
              <w:t>2.系统功能</w:t>
            </w:r>
          </w:p>
          <w:p>
            <w:pPr>
              <w:pStyle w:val="null3"/>
              <w:jc w:val="both"/>
            </w:pPr>
            <w:r>
              <w:rPr>
                <w:rFonts w:ascii="仿宋_GB2312" w:hAnsi="仿宋_GB2312" w:cs="仿宋_GB2312" w:eastAsia="仿宋_GB2312"/>
                <w:sz w:val="21"/>
              </w:rPr>
              <w:t>①视频数据采集与传输功能</w:t>
            </w:r>
          </w:p>
          <w:p>
            <w:pPr>
              <w:pStyle w:val="null3"/>
              <w:jc w:val="both"/>
            </w:pPr>
            <w:r>
              <w:rPr>
                <w:rFonts w:ascii="仿宋_GB2312" w:hAnsi="仿宋_GB2312" w:cs="仿宋_GB2312" w:eastAsia="仿宋_GB2312"/>
                <w:sz w:val="21"/>
              </w:rPr>
              <w:t>系统通过前端的高清摄像头视频数据采集设备，能够对监测区域进行</w:t>
            </w:r>
            <w:r>
              <w:rPr>
                <w:rFonts w:ascii="仿宋_GB2312" w:hAnsi="仿宋_GB2312" w:cs="仿宋_GB2312" w:eastAsia="仿宋_GB2312"/>
                <w:sz w:val="21"/>
              </w:rPr>
              <w:t>24 小时不间断的视频采集，采集到的数据通过无线网桥和网络传输服务，实时、稳定地传输至后端的控制平台，确保工作人员能够及时了解监测区域的情况。</w:t>
            </w:r>
          </w:p>
          <w:p>
            <w:pPr>
              <w:pStyle w:val="null3"/>
              <w:jc w:val="both"/>
            </w:pPr>
            <w:r>
              <w:rPr>
                <w:rFonts w:ascii="仿宋_GB2312" w:hAnsi="仿宋_GB2312" w:cs="仿宋_GB2312" w:eastAsia="仿宋_GB2312"/>
                <w:sz w:val="21"/>
              </w:rPr>
              <w:t>②远程监控与控制功能</w:t>
            </w:r>
          </w:p>
          <w:p>
            <w:pPr>
              <w:pStyle w:val="null3"/>
              <w:jc w:val="both"/>
            </w:pPr>
            <w:r>
              <w:rPr>
                <w:rFonts w:ascii="仿宋_GB2312" w:hAnsi="仿宋_GB2312" w:cs="仿宋_GB2312" w:eastAsia="仿宋_GB2312"/>
                <w:sz w:val="21"/>
              </w:rPr>
              <w:t>可以通过控制平台软件对前端的高清摄像头进行远程控制，包括水平旋转、垂直旋转、光学变倍等操作，以便更清晰、全面地观察监测区域内的鸟类活动。同时，系统支持预置位和巡航路径的设置，能够按照预设的路线进行自动巡检，提高监测效率。</w:t>
            </w:r>
          </w:p>
          <w:p>
            <w:pPr>
              <w:pStyle w:val="null3"/>
              <w:jc w:val="both"/>
            </w:pPr>
            <w:r>
              <w:rPr>
                <w:rFonts w:ascii="仿宋_GB2312" w:hAnsi="仿宋_GB2312" w:cs="仿宋_GB2312" w:eastAsia="仿宋_GB2312"/>
                <w:sz w:val="21"/>
              </w:rPr>
              <w:t>③VR 展示与联动功能</w:t>
            </w:r>
          </w:p>
          <w:p>
            <w:pPr>
              <w:pStyle w:val="null3"/>
              <w:jc w:val="both"/>
            </w:pPr>
            <w:r>
              <w:rPr>
                <w:rFonts w:ascii="仿宋_GB2312" w:hAnsi="仿宋_GB2312" w:cs="仿宋_GB2312" w:eastAsia="仿宋_GB2312"/>
                <w:sz w:val="21"/>
              </w:rPr>
              <w:t>系统具有</w:t>
            </w:r>
            <w:r>
              <w:rPr>
                <w:rFonts w:ascii="仿宋_GB2312" w:hAnsi="仿宋_GB2312" w:cs="仿宋_GB2312" w:eastAsia="仿宋_GB2312"/>
                <w:sz w:val="21"/>
              </w:rPr>
              <w:t>VR 展示功能，可在客户端软件展示生成的全景图和实时视频。全景图可与实时视频联动，工作人员通过点击全景图，能使实时视频画面转动至点击位置，便于快速定位和观察特定区域，提升监测的便捷性和效率。</w:t>
            </w:r>
          </w:p>
          <w:p>
            <w:pPr>
              <w:pStyle w:val="null3"/>
              <w:jc w:val="both"/>
            </w:pPr>
            <w:r>
              <w:rPr>
                <w:rFonts w:ascii="仿宋_GB2312" w:hAnsi="仿宋_GB2312" w:cs="仿宋_GB2312" w:eastAsia="仿宋_GB2312"/>
                <w:sz w:val="21"/>
              </w:rPr>
              <w:t>④智能分析与报警功能</w:t>
            </w:r>
          </w:p>
          <w:p>
            <w:pPr>
              <w:pStyle w:val="null3"/>
              <w:jc w:val="both"/>
            </w:pPr>
            <w:r>
              <w:rPr>
                <w:rFonts w:ascii="仿宋_GB2312" w:hAnsi="仿宋_GB2312" w:cs="仿宋_GB2312" w:eastAsia="仿宋_GB2312"/>
                <w:sz w:val="21"/>
              </w:rPr>
              <w:t>系统能够对采集到的视频数据进行智能分析，识别鸟类的异常行为（如异常聚集、死亡、萎靡不振等）。当检测到异常情况时，系统会通过</w:t>
            </w:r>
            <w:r>
              <w:rPr>
                <w:rFonts w:ascii="仿宋_GB2312" w:hAnsi="仿宋_GB2312" w:cs="仿宋_GB2312" w:eastAsia="仿宋_GB2312"/>
                <w:sz w:val="21"/>
              </w:rPr>
              <w:t>smart 事件上报功能进行抓图，抓图支持叠加规则区域和目标框，并可配置报警抓图叠加目标信息及规则信息，同时支持设置预览画面是否叠加显示规则区域框及告警提示信息，此外，可及时触发报警，通知工作人员进行处理。</w:t>
            </w:r>
          </w:p>
          <w:p>
            <w:pPr>
              <w:pStyle w:val="null3"/>
              <w:jc w:val="both"/>
            </w:pPr>
            <w:r>
              <w:rPr>
                <w:rFonts w:ascii="仿宋_GB2312" w:hAnsi="仿宋_GB2312" w:cs="仿宋_GB2312" w:eastAsia="仿宋_GB2312"/>
                <w:sz w:val="21"/>
              </w:rPr>
              <w:t>⑤数据存储与查询功能</w:t>
            </w:r>
          </w:p>
          <w:p>
            <w:pPr>
              <w:pStyle w:val="null3"/>
              <w:jc w:val="both"/>
            </w:pPr>
            <w:r>
              <w:rPr>
                <w:rFonts w:ascii="仿宋_GB2312" w:hAnsi="仿宋_GB2312" w:cs="仿宋_GB2312" w:eastAsia="仿宋_GB2312"/>
                <w:sz w:val="21"/>
              </w:rPr>
              <w:t>控制平台软件能够对传输过来的视频数据进行存储，存储时间可根据实际需求进行设置。工作人员可以通过平台对历史视频数据进行查询和回放，便于对过往的监测情况进行分析和追溯，为疫病的研究和防控提供数据支持。</w:t>
            </w:r>
          </w:p>
          <w:p>
            <w:pPr>
              <w:pStyle w:val="null3"/>
              <w:jc w:val="both"/>
            </w:pPr>
            <w:r>
              <w:rPr>
                <w:rFonts w:ascii="仿宋_GB2312" w:hAnsi="仿宋_GB2312" w:cs="仿宋_GB2312" w:eastAsia="仿宋_GB2312"/>
                <w:sz w:val="21"/>
              </w:rPr>
              <w:t>⑥设备管理功能</w:t>
            </w:r>
          </w:p>
          <w:p>
            <w:pPr>
              <w:pStyle w:val="null3"/>
              <w:jc w:val="both"/>
            </w:pPr>
            <w:r>
              <w:rPr>
                <w:rFonts w:ascii="仿宋_GB2312" w:hAnsi="仿宋_GB2312" w:cs="仿宋_GB2312" w:eastAsia="仿宋_GB2312"/>
                <w:sz w:val="21"/>
              </w:rPr>
              <w:t>系统可以对前端的高清摄像头进行集中管理，实时监测设备的运行状态。当设备出现故障时，系统会及时发出告警信息，提醒工作人员进行维修和维护，确保系统的正常运行。</w:t>
            </w:r>
          </w:p>
          <w:p>
            <w:pPr>
              <w:pStyle w:val="null3"/>
              <w:jc w:val="both"/>
            </w:pPr>
            <w:r>
              <w:rPr>
                <w:rFonts w:ascii="仿宋_GB2312" w:hAnsi="仿宋_GB2312" w:cs="仿宋_GB2312" w:eastAsia="仿宋_GB2312"/>
                <w:sz w:val="21"/>
              </w:rPr>
              <w:t>3.系统部署</w:t>
            </w:r>
          </w:p>
          <w:p>
            <w:pPr>
              <w:pStyle w:val="null3"/>
              <w:jc w:val="both"/>
            </w:pPr>
            <w:r>
              <w:rPr>
                <w:rFonts w:ascii="仿宋_GB2312" w:hAnsi="仿宋_GB2312" w:cs="仿宋_GB2312" w:eastAsia="仿宋_GB2312"/>
                <w:sz w:val="21"/>
              </w:rPr>
              <w:t>①部署环境</w:t>
            </w:r>
          </w:p>
          <w:p>
            <w:pPr>
              <w:pStyle w:val="null3"/>
              <w:jc w:val="both"/>
            </w:pPr>
            <w:r>
              <w:rPr>
                <w:rFonts w:ascii="仿宋_GB2312" w:hAnsi="仿宋_GB2312" w:cs="仿宋_GB2312" w:eastAsia="仿宋_GB2312"/>
                <w:sz w:val="21"/>
              </w:rPr>
              <w:t>控制平台软件部署在朱鹮管理局数据中心现有服务器上，服务器具备较高的处理器性能、充足的内存和存储空间、稳定的网络接口，可保证软件的顺畅运行。</w:t>
            </w:r>
          </w:p>
          <w:p>
            <w:pPr>
              <w:pStyle w:val="null3"/>
              <w:jc w:val="both"/>
            </w:pPr>
            <w:r>
              <w:rPr>
                <w:rFonts w:ascii="仿宋_GB2312" w:hAnsi="仿宋_GB2312" w:cs="仿宋_GB2312" w:eastAsia="仿宋_GB2312"/>
                <w:sz w:val="21"/>
              </w:rPr>
              <w:t>②部署方式</w:t>
            </w:r>
          </w:p>
          <w:p>
            <w:pPr>
              <w:pStyle w:val="null3"/>
              <w:jc w:val="both"/>
            </w:pPr>
            <w:r>
              <w:rPr>
                <w:rFonts w:ascii="仿宋_GB2312" w:hAnsi="仿宋_GB2312" w:cs="仿宋_GB2312" w:eastAsia="仿宋_GB2312"/>
                <w:sz w:val="21"/>
              </w:rPr>
              <w:t>采用集中式部署方式，将控制平台软件安装在中心服务器上。前端的高清摄像头、无线网桥等设备通过网络与中心服务器进行连接，实现数据的传输和通信。</w:t>
            </w:r>
          </w:p>
          <w:p>
            <w:pPr>
              <w:pStyle w:val="null3"/>
              <w:jc w:val="both"/>
            </w:pPr>
            <w:r>
              <w:rPr>
                <w:rFonts w:ascii="仿宋_GB2312" w:hAnsi="仿宋_GB2312" w:cs="仿宋_GB2312" w:eastAsia="仿宋_GB2312"/>
                <w:sz w:val="21"/>
              </w:rPr>
              <w:t>③数据安全保障</w:t>
            </w:r>
          </w:p>
          <w:p>
            <w:pPr>
              <w:pStyle w:val="null3"/>
              <w:jc w:val="both"/>
            </w:pPr>
            <w:r>
              <w:rPr>
                <w:rFonts w:ascii="仿宋_GB2312" w:hAnsi="仿宋_GB2312" w:cs="仿宋_GB2312" w:eastAsia="仿宋_GB2312"/>
                <w:sz w:val="21"/>
              </w:rPr>
              <w:t>为确保监测数据的安全，控制平台软件</w:t>
            </w:r>
            <w:r>
              <w:rPr>
                <w:rFonts w:ascii="仿宋_GB2312" w:hAnsi="仿宋_GB2312" w:cs="仿宋_GB2312" w:eastAsia="仿宋_GB2312"/>
                <w:sz w:val="21"/>
              </w:rPr>
              <w:t>须</w:t>
            </w:r>
            <w:r>
              <w:rPr>
                <w:rFonts w:ascii="仿宋_GB2312" w:hAnsi="仿宋_GB2312" w:cs="仿宋_GB2312" w:eastAsia="仿宋_GB2312"/>
                <w:sz w:val="21"/>
              </w:rPr>
              <w:t>具备完善的数据安全保障机制。包括用户身份认证，只有授权人员才能登录系统进行操作；数据加密传输，防止数据在传输过程中被窃取或篡改；数据备份与恢复，定期对存储的数据进行备份，以应对数据丢失等突发情况。</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应当保证所供货物的来源渠道正常，产品是全新的、未使用过的、且完全符合合同规定的质量、规格、技术指标等要求。</w:t>
            </w:r>
          </w:p>
          <w:p>
            <w:pPr>
              <w:pStyle w:val="null3"/>
              <w:jc w:val="both"/>
            </w:pPr>
            <w:r>
              <w:rPr>
                <w:rFonts w:ascii="仿宋_GB2312" w:hAnsi="仿宋_GB2312" w:cs="仿宋_GB2312" w:eastAsia="仿宋_GB2312"/>
                <w:sz w:val="21"/>
              </w:rPr>
              <w:t>2.在质保期内，如果发现货物的质量、规格、技术指标等存在与合同中任何一项不符，</w:t>
            </w:r>
            <w:r>
              <w:rPr>
                <w:rFonts w:ascii="仿宋_GB2312" w:hAnsi="仿宋_GB2312" w:cs="仿宋_GB2312" w:eastAsia="仿宋_GB2312"/>
                <w:sz w:val="21"/>
              </w:rPr>
              <w:t>采购人</w:t>
            </w:r>
            <w:r>
              <w:rPr>
                <w:rFonts w:ascii="仿宋_GB2312" w:hAnsi="仿宋_GB2312" w:cs="仿宋_GB2312" w:eastAsia="仿宋_GB2312"/>
                <w:sz w:val="21"/>
              </w:rPr>
              <w:t>有权向</w:t>
            </w:r>
            <w:r>
              <w:rPr>
                <w:rFonts w:ascii="仿宋_GB2312" w:hAnsi="仿宋_GB2312" w:cs="仿宋_GB2312" w:eastAsia="仿宋_GB2312"/>
                <w:sz w:val="21"/>
              </w:rPr>
              <w:t>供应商</w:t>
            </w:r>
            <w:r>
              <w:rPr>
                <w:rFonts w:ascii="仿宋_GB2312" w:hAnsi="仿宋_GB2312" w:cs="仿宋_GB2312" w:eastAsia="仿宋_GB2312"/>
                <w:sz w:val="21"/>
              </w:rPr>
              <w:t>提出索赔。</w:t>
            </w:r>
          </w:p>
          <w:p>
            <w:pPr>
              <w:pStyle w:val="null3"/>
              <w:jc w:val="both"/>
            </w:pPr>
            <w:r>
              <w:rPr>
                <w:rFonts w:ascii="仿宋_GB2312" w:hAnsi="仿宋_GB2312" w:cs="仿宋_GB2312" w:eastAsia="仿宋_GB2312"/>
                <w:sz w:val="21"/>
              </w:rPr>
              <w:t>3.供应商必须服从采购人的统一协调，在产品供货、技术支持、维护等方面要积极与采购人协调和配合；同时本项目为交钥匙项目，供应商对项目硬件及施工内容理解的偏差所造成任何费用，供应商自行承担。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自合同签订之日起180个日历日完成全部项目内容，并交付采购人验收合格。（中标人承诺的交货期优于招标文件要求的，按其承诺时间）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陕西汉中市洋县，包括朱鹮国家级自然保护区、朱鹮饲养繁育中心、朱鹮种源基地以及朱鹮国家级自然保护区管理局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全部货物到达采购人指定地点完成设备安装、调试后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现行的国家标准或国家行政部门颁布的法律法规、规章制度等，是项目验收的重要依据。没有国家标准的，可以参考行业标准。同时还包含合同、招标文件、投标文件、澄清等。验收方法：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投标人应承担由于其包装或防护措施不妥而引起的货物锈蚀、损坏和丢失等任何损失造成的责任或费用。 2、运输：运杂费一次包死在总价内，包括但不限于生产厂到项目现场所需的装卸、运输（含保险费）、现场保管费、二次倒运费等费用。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 2.中标人承诺的质保时间超过招标文件要求的，按其承诺时间质保。 3.中标人承诺的质保期起始时间为验收合格之日。 4.所有产品质量必须符合现行的国家标准或国家行政部门颁布的法律法规、规章制度等。没有国家标准的，可以参考行业标准。所有设备及辅材必须是未使用过的新产品，质量优良、渠道正当，配置合理。 5.质保期出现的质量问题由中标人负责解决并承担所有费用。质保期后如需更换零部件，中标人应以优惠价提供。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须与项目电子化交易系统中提交的电子投标文件一致的签字、盖章的完整版本）正本壹份、副本壹份、电子版壹份（U盘存储）。 2、纸质投标文件正本、副本、电子版，标明投标人名称，分开密封递交（投标文件采用双面打印）。 3、线下纸质文件递交截止时间：同在线递交电子投标文件截止时间；线下纸质文件递交地点：陕西省西安市雁塔区高新路52号高科大厦17楼。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分项报价表.docx 开标一览表（报价表）.docx 投标函 项目业绩一览表.docx 标的清单 承诺书.docx 投标文件封面 资格证明文件.docx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投标文件按照招标文件规定要求签署、盖章（评分标准中要求提供的证明材料除外）。</w:t>
            </w:r>
          </w:p>
        </w:tc>
        <w:tc>
          <w:tcPr>
            <w:tcW w:type="dxa" w:w="1661"/>
          </w:tcPr>
          <w:p>
            <w:pPr>
              <w:pStyle w:val="null3"/>
            </w:pPr>
            <w:r>
              <w:rPr>
                <w:rFonts w:ascii="仿宋_GB2312" w:hAnsi="仿宋_GB2312" w:cs="仿宋_GB2312" w:eastAsia="仿宋_GB2312"/>
              </w:rPr>
              <w:t>分项报价表.docx 开标一览表（报价表）.docx 项目业绩一览表.docx 投标函 承诺书.docx 标的清单 投标文件封面 资格证明文件.docx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投标报价唯一，未提交选择性报价，且未超过招标文件中规定的最高限价。</w:t>
            </w:r>
          </w:p>
        </w:tc>
        <w:tc>
          <w:tcPr>
            <w:tcW w:type="dxa" w:w="1661"/>
          </w:tcPr>
          <w:p>
            <w:pPr>
              <w:pStyle w:val="null3"/>
            </w:pPr>
            <w:r>
              <w:rPr>
                <w:rFonts w:ascii="仿宋_GB2312" w:hAnsi="仿宋_GB2312" w:cs="仿宋_GB2312" w:eastAsia="仿宋_GB2312"/>
              </w:rPr>
              <w:t>分项报价表.docx 开标一览表（报价表）.docx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符合招标文件以及法律、法规规定的其他实质性要求</w:t>
            </w:r>
          </w:p>
        </w:tc>
        <w:tc>
          <w:tcPr>
            <w:tcW w:type="dxa" w:w="1661"/>
          </w:tcPr>
          <w:p>
            <w:pPr>
              <w:pStyle w:val="null3"/>
            </w:pPr>
            <w:r>
              <w:rPr>
                <w:rFonts w:ascii="仿宋_GB2312" w:hAnsi="仿宋_GB2312" w:cs="仿宋_GB2312" w:eastAsia="仿宋_GB2312"/>
              </w:rPr>
              <w:t>分项报价表.docx 开标一览表（报价表）.docx 投标函 项目业绩一览表.docx 供应商认为需要提交的其他材料.docx 标的清单 承诺书.docx 投标文件封面 资格证明文件.docx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投标人所投产品的技术参数与性能指标等完全符合招标文件要求，没有负偏离的计22分；带“▲”号参数每负偏离一项扣1分，非带“▲”号参数每负偏离一项扣0.5分，扣完为止。 备注：1、带“▲”号参数必须提供佐证材料，否则视为负偏离，佐证材料包括但不限于国家权威部门出具的检验报告、经厂家确认的产品彩页、产品说明书、官网功能截图、技术白皮书等。2、佐证材料与技术指标偏差表中投标技术指标响应不一致的，以佐证材料为准。 3、技术指标响应有漏项的视为负偏离。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供应商认为需要提交的其他材料.docx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一、评审内容 针对采购内容及要求提出适用于本项目的供货实施方案，内容包含但不限于：①供货计划安排（含供货进度安排）②货物配送及运输安排③安全控制方案及质量控制措施④人员配置方案⑤应急预案⑥验收方案等。 二、评审标准 1、完整性：方案必须全面，对评审内容中的各项要求有详细描述；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三、赋分标准（满分18分） ①供货计划安排（含供货进度安排）（满分3.0分） ：每完全满足一个评审标准得1.0分；每有一项内容存在缺陷扣0.5分,扣完为止；缺项不得分。 ②货物配送及运输安排（满分3.0分）：每完全满足一个评审标准得1.0分；每有一项内容存在缺陷扣0.5分,扣完为止；缺项不得分。 ③安全控制方案及质量控制措施（满分3.0分）：每完全满足一个评审标准得1.0分；每有一项内容存在缺陷扣0.5分,扣完为止；缺项不得分。 ④人员配置方案（满分3.0分）：每完全满足一个评审标准得1.0分；每有一项内容存在缺陷扣0.5分,扣完为止；缺项不得分。 ⑤应急预案（满分3.0分）：每完全满足一个评审标准得1.0分；每有一项内容存在缺陷扣0.5分,扣完为止；缺项不得分。 ⑥验收方案（满分3.0分）：每完全满足一个评审标准得1.0分；每有一项内容存在缺陷扣0.5分,扣完为止；缺项不得分。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所投产品货源渠道来源正规，符合国家或行业的有关标准和相关规定，能保证使用单位正常使用和维护。提供产品合法来源渠道的证明文件（包括但不限于销售协议、代理协议、原厂授权等），每提供一个产品的计1分，满分4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产品货源渠道.docx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针对采购内容及要求提出适用于本项目的质量保证方案，内容包含但不限于：①质量目标②产品使用寿命及效果说明③质量控制措施。 二、评审标准 1、完整性：方案必须全面，对评审内容中的各项要求有详细描述；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三、赋分标准（满分9分） ①质量目标（满分3.0分）：每完全满足一个评审标准得1.0分；每有一项内容存在缺陷扣0.5分,扣完为止；缺项不得分。 ②产品使用寿命及效果说明（满分3.0分）：每完全满足一个评审标准得1.0分；每有一项内容存在缺陷扣0.5分,扣完为止；缺项不得分。 ③质量控制措施（满分3.0分）：每完全满足一个评审标准得1.0分；每有一项内容存在缺陷扣0.5分,扣完为止；缺项不得分。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针对本项目有具体的培训方案，内容包含但不限于：①培训计划（培训形式、时间地点、培训人员安排等），②培训内容（设备原理和技术性能、仪器操作、仪器维护、故障排除等）。 二、评审标准 1、完整性：内容必须全面，对评审内容中的各项要求有详细描述；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三、赋分标准（满分6分） ①培训计划（培训形式、时间地点、培训人员安排等）（满分3.0分）：每完全满足一个评审标准得1.0分；每有一项内容存在缺陷扣0.5分,扣完为止；缺项不得分。 ②培训内容（设备原理和技术性能、仪器操作、仪器维护、故障排除等）（满分3.0分）：每完全满足一个评审标准得1.0分；每有一项内容存在缺陷扣0.5分,扣完为止；缺项不得分。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有具体的售后服务方案，内容包含但不限于：①售后服务标准②故障响应解决时间、售后服务效率③维修措施④常规仪器保养和维护的日程安排及措施⑤备品备件储备⑥售后服务人员配置情况⑦质量保证期限及质量保证的范围承诺。 二、评审标准 1、完整性：内容必须全面，对评审内容中的各项要求有详细描述； 2、针对性：方案能够紧扣项目实际情况，内容科学合理。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三、赋分标准（满分7分） ①售后服务标准（满分1.0分）：每完全满足一个评审标准得0.5分；每有一项内容存在缺陷扣0.25分,扣完为止；缺项不得分。 ②故障响应解决时间、售后服务效率（满分1.0分）：每完全满足一个评审标准得0.5分；每有一项内容存在缺陷扣0.25分,扣完为止；缺项不得分。 ③维修措施（满分1.0分）：每完全满足一个评审标准得0.5分；每有一项内容存在缺陷扣0.25分,扣完为止；缺项不得分。 ④常规仪器保养和维护的日程安排及措施（满分1.0分）：每完全满足一个评审标准得0.5分；每有一项内容存在缺陷扣0.25分,扣完为止；缺项不得分。 ⑤备品备件储备（满分1.0分）：每完全满足一个评审标准得0.5分；每有一项内容存在缺陷扣0.25分,扣完为止；缺项不得分。 ⑥售后服务人员配置情况（满分1.0分）：每完全满足一个评审标准得0.5分；每有一项内容存在缺陷扣0.25分,扣完为止；缺项不得分。 ⑦质量保证期限及质量保证的范围承诺（满分1.0分）：每完全满足一个评审标准得0.5分；每有一项内容存在缺陷扣0.25分,扣完为止；缺项不得分。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提供投标人2022年1月1日至今类似项目业绩（以合同签订时间为准），每提供一份计2分，满分4分。（需提供合同复印件并加盖投标人公章，否则不计分）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开标一览表（报价表）.docx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详见附件：产品货源渠道.docx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