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版本号：RTZB-2025-201620250924001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2025年陕西省卫星遥感生态质量监测能力提升项目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RTZB-2025-2016</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2025年陕西省卫星遥感生态质量监测能力提升项目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2025年陕西省卫星遥感生态质量监测能力提升项目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以卫星遥感为主要技术手段，面向陕西省卫星遥感监测能力提升，支撑美丽中国建设，按照主动发现生态问题线索的工作要求，对全省保护地与红线等重要生态空间内可能造成生态破坏的开发建设活动进行动态监测，对全省重要流域的干支流的排污口开展排查工作，及时发现可能存在的生态环境问题，加强省级层面遥感监测能力建设，提高生态破坏问题线索发现时效性和准确性，全面完成陕西省内的流域干流及重要支流排污口卫星遥感排查和检查问题整治情况卫星遥感追踪，建立入河排污口动态清单，扎实推进生态破坏问题核实整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p>
      <w:pPr>
        <w:pStyle w:val="null3"/>
      </w:pPr>
      <w:r>
        <w:rPr>
          <w:rFonts w:ascii="仿宋_GB2312" w:hAnsi="仿宋_GB2312" w:cs="仿宋_GB2312" w:eastAsia="仿宋_GB2312"/>
        </w:rPr>
        <w:t>2、联合体形式：不接受联合体投标，提供非联合体声明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陕西省环境监测中心站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的标准收取代理服务费。中标人在领取中标通知书前，须一次性足额向采购代理机构交纳代理服务费。代理服务费以转账或现金形式缴纳，转账信息向中标人通知。</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以卫星遥感为主要技术手段，面向陕西省卫星遥感监测能力提升，支撑美丽中国建设，按照主动发现生态问题线索的工作要求，对全省保护地与红线等重要生态空间内可能造成生态破坏的开发建设活动进行动态监测，对全省重要流域的干支流的排污口开展排查工作，及时发现可能存在的生态环境问题，加强省级层面遥感监测能力建设，提高生态破坏问题线索发现时效性和准确性，全面完成陕西省内的流域干流及重要支流排污口卫星遥感排查和检查问题整治情况卫星遥感追踪，建立入河排污口动态清单，扎实推进生态破坏问题核实整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2025年陕西省卫星遥感生态质量监测能力提升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标的名称：2025年陕西省卫星遥感生态质量监测能力提升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项目内容</w:t>
            </w:r>
          </w:p>
          <w:p>
            <w:pPr>
              <w:pStyle w:val="null3"/>
              <w:jc w:val="center"/>
            </w:pPr>
            <w:r>
              <w:rPr>
                <w:rFonts w:ascii="仿宋_GB2312" w:hAnsi="仿宋_GB2312" w:cs="仿宋_GB2312" w:eastAsia="仿宋_GB2312"/>
                <w:sz w:val="20"/>
              </w:rPr>
              <w:t>项目具体实施内容</w:t>
            </w:r>
          </w:p>
          <w:tbl>
            <w:tblPr>
              <w:tblBorders>
                <w:top w:val="none" w:color="000000" w:sz="4"/>
                <w:left w:val="none" w:color="000000" w:sz="4"/>
                <w:bottom w:val="none" w:color="000000" w:sz="4"/>
                <w:right w:val="none" w:color="000000" w:sz="4"/>
                <w:insideH w:val="none"/>
                <w:insideV w:val="none"/>
              </w:tblBorders>
            </w:tblPr>
            <w:tblGrid>
              <w:gridCol w:w="609"/>
              <w:gridCol w:w="830"/>
              <w:gridCol w:w="1114"/>
            </w:tblGrid>
            <w:tr>
              <w:tc>
                <w:tcPr>
                  <w:tcW w:type="dxa" w:w="1439"/>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项目内容</w:t>
                  </w:r>
                </w:p>
              </w:tc>
              <w:tc>
                <w:tcPr>
                  <w:tcW w:type="dxa" w:w="111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b/>
                      <w:color w:val="000000"/>
                    </w:rPr>
                    <w:t>工作内容</w:t>
                  </w:r>
                </w:p>
              </w:tc>
            </w:tr>
            <w:tr>
              <w:tc>
                <w:tcPr>
                  <w:tcW w:type="dxa" w:w="609"/>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陕西省重要生态空间动态遥感监测</w:t>
                  </w: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国产高分卫星影像数据标准化处理</w:t>
                  </w:r>
                </w:p>
              </w:tc>
              <w:tc>
                <w:tcPr>
                  <w:tcW w:type="dxa" w:w="111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每双月完成一次全省优于</w:t>
                  </w:r>
                  <w:r>
                    <w:rPr>
                      <w:rFonts w:ascii="仿宋_GB2312" w:hAnsi="仿宋_GB2312" w:cs="仿宋_GB2312" w:eastAsia="仿宋_GB2312"/>
                      <w:sz w:val="20"/>
                      <w:color w:val="000000"/>
                    </w:rPr>
                    <w:t>2米分辨率国产高分卫星影像数据的标准化处理，通过控制点匹配、正射校正、融合处理、真彩色处理等步骤，将原始影像遥感影像产品生产为真彩色影像产品</w:t>
                  </w:r>
                </w:p>
              </w:tc>
            </w:tr>
            <w:tr>
              <w:tc>
                <w:tcPr>
                  <w:tcW w:type="dxa" w:w="609"/>
                  <w:vMerge/>
                  <w:tcBorders>
                    <w:top w:val="none" w:color="000000" w:sz="4"/>
                    <w:left w:val="single" w:color="000000" w:sz="4"/>
                    <w:bottom w:val="single" w:color="000000" w:sz="4"/>
                    <w:right w:val="single" w:color="000000" w:sz="4"/>
                  </w:tcBorders>
                </w:tcP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保护地与红线生态问题线索筛选</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根据《生态保护红线监管技术规范</w:t>
                  </w:r>
                  <w:r>
                    <w:rPr>
                      <w:rFonts w:ascii="仿宋_GB2312" w:hAnsi="仿宋_GB2312" w:cs="仿宋_GB2312" w:eastAsia="仿宋_GB2312"/>
                      <w:sz w:val="20"/>
                      <w:color w:val="000000"/>
                    </w:rPr>
                    <w:t>疑似生态破坏问题图斑遥感识别（试行）》（</w:t>
                  </w:r>
                  <w:r>
                    <w:rPr>
                      <w:rFonts w:ascii="仿宋_GB2312" w:hAnsi="仿宋_GB2312" w:cs="仿宋_GB2312" w:eastAsia="仿宋_GB2312"/>
                      <w:sz w:val="20"/>
                      <w:color w:val="000000"/>
                    </w:rPr>
                    <w:t>HJ 1337-2023），筛选陕西省保护地与红线生态问题线索</w:t>
                  </w:r>
                </w:p>
              </w:tc>
            </w:tr>
            <w:tr>
              <w:tc>
                <w:tcPr>
                  <w:tcW w:type="dxa" w:w="609"/>
                  <w:vMerge/>
                  <w:tcBorders>
                    <w:top w:val="none" w:color="000000" w:sz="4"/>
                    <w:left w:val="single" w:color="000000" w:sz="4"/>
                    <w:bottom w:val="single" w:color="000000" w:sz="4"/>
                    <w:right w:val="single" w:color="000000" w:sz="4"/>
                  </w:tcBorders>
                </w:tcP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秦岭地区生态问题线索筛选</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根据《生态保护红线监管技术规范</w:t>
                  </w:r>
                  <w:r>
                    <w:rPr>
                      <w:rFonts w:ascii="仿宋_GB2312" w:hAnsi="仿宋_GB2312" w:cs="仿宋_GB2312" w:eastAsia="仿宋_GB2312"/>
                      <w:sz w:val="20"/>
                      <w:color w:val="000000"/>
                    </w:rPr>
                    <w:t>疑似生态破坏问题图斑遥感识别（试行）》（</w:t>
                  </w:r>
                  <w:r>
                    <w:rPr>
                      <w:rFonts w:ascii="仿宋_GB2312" w:hAnsi="仿宋_GB2312" w:cs="仿宋_GB2312" w:eastAsia="仿宋_GB2312"/>
                      <w:sz w:val="20"/>
                      <w:color w:val="000000"/>
                    </w:rPr>
                    <w:t>HJ 1337-2023），筛选陕西省秦岭地区生态问题线索</w:t>
                  </w:r>
                </w:p>
              </w:tc>
            </w:tr>
            <w:tr>
              <w:tc>
                <w:tcPr>
                  <w:tcW w:type="dxa" w:w="609"/>
                  <w:vMerge/>
                  <w:tcBorders>
                    <w:top w:val="none" w:color="000000" w:sz="4"/>
                    <w:left w:val="single" w:color="000000" w:sz="4"/>
                    <w:bottom w:val="single" w:color="000000" w:sz="4"/>
                    <w:right w:val="single" w:color="000000" w:sz="4"/>
                  </w:tcBorders>
                </w:tcP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问题线索清单生产与报告编制</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根据《生态保护红线监管技术规范</w:t>
                  </w:r>
                  <w:r>
                    <w:rPr>
                      <w:rFonts w:ascii="仿宋_GB2312" w:hAnsi="仿宋_GB2312" w:cs="仿宋_GB2312" w:eastAsia="仿宋_GB2312"/>
                      <w:sz w:val="20"/>
                      <w:color w:val="000000"/>
                    </w:rPr>
                    <w:t>疑似生态破坏问题图斑遥感识别（试行）》（</w:t>
                  </w:r>
                  <w:r>
                    <w:rPr>
                      <w:rFonts w:ascii="仿宋_GB2312" w:hAnsi="仿宋_GB2312" w:cs="仿宋_GB2312" w:eastAsia="仿宋_GB2312"/>
                      <w:sz w:val="20"/>
                      <w:color w:val="000000"/>
                    </w:rPr>
                    <w:t>HJ 1337-2023），形成陕西省保护地与红线、秦岭地区疑似生态破坏图斑问题线索清单生产</w:t>
                  </w:r>
                </w:p>
              </w:tc>
            </w:tr>
            <w:tr>
              <w:tc>
                <w:tcPr>
                  <w:tcW w:type="dxa" w:w="609"/>
                  <w:vMerge/>
                  <w:tcBorders>
                    <w:top w:val="none" w:color="000000" w:sz="4"/>
                    <w:left w:val="single" w:color="000000" w:sz="4"/>
                    <w:bottom w:val="single" w:color="000000" w:sz="4"/>
                    <w:right w:val="single" w:color="000000" w:sz="4"/>
                  </w:tcBorders>
                </w:tcP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成果要求与质控</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遥感数据处理、问题线索提取、线索清单制作方面严格按照《生态保护红线监管技术规范</w:t>
                  </w:r>
                  <w:r>
                    <w:rPr>
                      <w:rFonts w:ascii="仿宋_GB2312" w:hAnsi="仿宋_GB2312" w:cs="仿宋_GB2312" w:eastAsia="仿宋_GB2312"/>
                      <w:sz w:val="20"/>
                      <w:color w:val="000000"/>
                    </w:rPr>
                    <w:t>疑似生态破坏问题图斑遥感识别（试行）》等文件进行质控</w:t>
                  </w:r>
                </w:p>
              </w:tc>
            </w:tr>
            <w:tr>
              <w:tc>
                <w:tcPr>
                  <w:tcW w:type="dxa" w:w="609"/>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陕西省流域干流及重要支流排污口遥感排查</w:t>
                  </w: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陕西省流域干流及重要支流排污口卫星遥感排查</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为保障入河排污口排查整治质量，对陕西省流域干流及重要支流排污口开展遥感排查，针对地方城市漏查漏报排污口难以发现的问题，利用入河排污口遥感识别技术经验，结合全国入河排污口监督管理信息化系统基础数据库等数据，实现漏查漏报排污口精准识别，建立排污口动态清单，频次为年</w:t>
                  </w:r>
                </w:p>
              </w:tc>
            </w:tr>
            <w:tr>
              <w:tc>
                <w:tcPr>
                  <w:tcW w:type="dxa" w:w="609"/>
                  <w:vMerge/>
                  <w:tcBorders>
                    <w:top w:val="none" w:color="000000" w:sz="4"/>
                    <w:left w:val="single" w:color="000000" w:sz="4"/>
                    <w:bottom w:val="single" w:color="000000" w:sz="4"/>
                    <w:right w:val="single" w:color="000000" w:sz="4"/>
                  </w:tcBorders>
                </w:tcPr>
                <w:p/>
              </w:tc>
              <w:tc>
                <w:tcPr>
                  <w:tcW w:type="dxa" w:w="8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color w:val="000000"/>
                    </w:rPr>
                    <w:t>排污口检查问题整治情况卫星遥感追踪</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sz w:val="20"/>
                      <w:color w:val="000000"/>
                    </w:rPr>
                    <w:t>充分利用海量历史卫星影像数据，对年度入河排污口检查中发现的问题纳入清单持续追踪，通过对比不同时相的高分辨率卫星影像，分析问题清单中入河排污口的变化情况，确保问题整改到位，持续改善水生态环境</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作业要求</w:t>
            </w:r>
          </w:p>
          <w:p>
            <w:pPr>
              <w:pStyle w:val="null3"/>
              <w:jc w:val="both"/>
            </w:pPr>
            <w:r>
              <w:rPr>
                <w:rFonts w:ascii="仿宋_GB2312" w:hAnsi="仿宋_GB2312" w:cs="仿宋_GB2312" w:eastAsia="仿宋_GB2312"/>
                <w:sz w:val="20"/>
              </w:rPr>
              <w:t>2.1 人员与专业要求</w:t>
            </w:r>
          </w:p>
          <w:p>
            <w:pPr>
              <w:pStyle w:val="null3"/>
              <w:jc w:val="both"/>
            </w:pPr>
            <w:r>
              <w:rPr>
                <w:rFonts w:ascii="仿宋_GB2312" w:hAnsi="仿宋_GB2312" w:cs="仿宋_GB2312" w:eastAsia="仿宋_GB2312"/>
                <w:sz w:val="20"/>
              </w:rPr>
              <w:t>1.项目负责人：具备生态、遥感、地理信息系统等相关专业正高级/副高级职称。</w:t>
            </w:r>
          </w:p>
          <w:p>
            <w:pPr>
              <w:pStyle w:val="null3"/>
              <w:jc w:val="both"/>
            </w:pPr>
            <w:r>
              <w:rPr>
                <w:rFonts w:ascii="仿宋_GB2312" w:hAnsi="仿宋_GB2312" w:cs="仿宋_GB2312" w:eastAsia="仿宋_GB2312"/>
                <w:sz w:val="20"/>
              </w:rPr>
              <w:t>2.技术负责人（可设置2人）：具备生态、遥感、地理信息系统等相关专业正高级/副高级职称/中级职称。</w:t>
            </w:r>
          </w:p>
          <w:p>
            <w:pPr>
              <w:pStyle w:val="null3"/>
              <w:jc w:val="both"/>
            </w:pPr>
            <w:r>
              <w:rPr>
                <w:rFonts w:ascii="仿宋_GB2312" w:hAnsi="仿宋_GB2312" w:cs="仿宋_GB2312" w:eastAsia="仿宋_GB2312"/>
                <w:sz w:val="20"/>
              </w:rPr>
              <w:t>3.团队成员（总人数不少于10人）：具备生态、遥感、地理信息系统等相关专业正高级/副高级职称/中级职称。</w:t>
            </w:r>
          </w:p>
          <w:p>
            <w:pPr>
              <w:pStyle w:val="null3"/>
              <w:jc w:val="both"/>
            </w:pPr>
            <w:r>
              <w:rPr>
                <w:rFonts w:ascii="仿宋_GB2312" w:hAnsi="仿宋_GB2312" w:cs="仿宋_GB2312" w:eastAsia="仿宋_GB2312"/>
                <w:sz w:val="20"/>
              </w:rPr>
              <w:t>2.2 工作技术要求</w:t>
            </w:r>
          </w:p>
          <w:p>
            <w:pPr>
              <w:pStyle w:val="null3"/>
              <w:jc w:val="both"/>
            </w:pPr>
            <w:r>
              <w:rPr>
                <w:rFonts w:ascii="仿宋_GB2312" w:hAnsi="仿宋_GB2312" w:cs="仿宋_GB2312" w:eastAsia="仿宋_GB2312"/>
                <w:sz w:val="20"/>
              </w:rPr>
              <w:t>1.《生态保护红线监管技术规范 数据质量控制（试行）》（HJ 1145-2020）</w:t>
            </w:r>
          </w:p>
          <w:p>
            <w:pPr>
              <w:pStyle w:val="null3"/>
              <w:jc w:val="both"/>
            </w:pPr>
            <w:r>
              <w:rPr>
                <w:rFonts w:ascii="仿宋_GB2312" w:hAnsi="仿宋_GB2312" w:cs="仿宋_GB2312" w:eastAsia="仿宋_GB2312"/>
                <w:sz w:val="20"/>
              </w:rPr>
              <w:t>2.《生态保护红线监管技术规范台账数据库建设（试行）》（HJ 1144-2020）</w:t>
            </w:r>
          </w:p>
          <w:p>
            <w:pPr>
              <w:pStyle w:val="null3"/>
              <w:jc w:val="both"/>
            </w:pPr>
            <w:r>
              <w:rPr>
                <w:rFonts w:ascii="仿宋_GB2312" w:hAnsi="仿宋_GB2312" w:cs="仿宋_GB2312" w:eastAsia="仿宋_GB2312"/>
                <w:sz w:val="20"/>
              </w:rPr>
              <w:t>3．《生态保护红线监管技术规范 疑似生态破坏问题图斑遥感识别（试行）》（HJ 1337-2023）</w:t>
            </w:r>
          </w:p>
          <w:p>
            <w:pPr>
              <w:pStyle w:val="null3"/>
              <w:jc w:val="both"/>
            </w:pPr>
            <w:r>
              <w:rPr>
                <w:rFonts w:ascii="仿宋_GB2312" w:hAnsi="仿宋_GB2312" w:cs="仿宋_GB2312" w:eastAsia="仿宋_GB2312"/>
                <w:sz w:val="20"/>
              </w:rPr>
              <w:t>4.《生态保护红线监管数据互联互通接口技术规范》（HJ 1294-2023）</w:t>
            </w:r>
          </w:p>
          <w:p>
            <w:pPr>
              <w:pStyle w:val="null3"/>
              <w:jc w:val="both"/>
            </w:pPr>
            <w:r>
              <w:rPr>
                <w:rFonts w:ascii="仿宋_GB2312" w:hAnsi="仿宋_GB2312" w:cs="仿宋_GB2312" w:eastAsia="仿宋_GB2312"/>
                <w:sz w:val="20"/>
              </w:rPr>
              <w:t>5.《生态空间生态破坏遥感监测调查与样本库构建技术规范（试行）》（征求意见稿）环办标征函〔2024〕40号</w:t>
            </w:r>
          </w:p>
          <w:p>
            <w:pPr>
              <w:pStyle w:val="null3"/>
              <w:jc w:val="both"/>
            </w:pPr>
            <w:r>
              <w:rPr>
                <w:rFonts w:ascii="仿宋_GB2312" w:hAnsi="仿宋_GB2312" w:cs="仿宋_GB2312" w:eastAsia="仿宋_GB2312"/>
                <w:sz w:val="20"/>
              </w:rPr>
              <w:t>6.《自然保护地人类活动遥感监测技术规范》(HJ 1156-2021)</w:t>
            </w:r>
          </w:p>
          <w:p>
            <w:pPr>
              <w:pStyle w:val="null3"/>
              <w:jc w:val="both"/>
            </w:pPr>
            <w:r>
              <w:rPr>
                <w:rFonts w:ascii="仿宋_GB2312" w:hAnsi="仿宋_GB2312" w:cs="仿宋_GB2312" w:eastAsia="仿宋_GB2312"/>
                <w:sz w:val="20"/>
              </w:rPr>
              <w:t>7.《自然保护地人类活动遥感解译审核与质量控制技术规程》（HJ 1273-2022）</w:t>
            </w:r>
          </w:p>
          <w:p>
            <w:pPr>
              <w:pStyle w:val="null3"/>
              <w:jc w:val="both"/>
            </w:pPr>
            <w:r>
              <w:rPr>
                <w:rFonts w:ascii="仿宋_GB2312" w:hAnsi="仿宋_GB2312" w:cs="仿宋_GB2312" w:eastAsia="仿宋_GB2312"/>
                <w:sz w:val="20"/>
              </w:rPr>
              <w:t>8.《关于加强入河入海排污口监督管理工作的实施意见》（国办函〔2022〕17号）</w:t>
            </w:r>
          </w:p>
          <w:p>
            <w:pPr>
              <w:pStyle w:val="null3"/>
              <w:jc w:val="both"/>
            </w:pPr>
            <w:r>
              <w:rPr>
                <w:rFonts w:ascii="仿宋_GB2312" w:hAnsi="仿宋_GB2312" w:cs="仿宋_GB2312" w:eastAsia="仿宋_GB2312"/>
                <w:sz w:val="20"/>
              </w:rPr>
              <w:t>9.《关于贯彻落实&lt;国务院办公厅关于加强入河入海排污口监督管理工作实施意见&gt;的通知》（环办水体〔2022〕34号）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陕西省重要生态空间动态遥感监测</w:t>
            </w:r>
          </w:p>
          <w:p>
            <w:pPr>
              <w:pStyle w:val="null3"/>
              <w:jc w:val="both"/>
            </w:pPr>
            <w:r>
              <w:rPr>
                <w:rFonts w:ascii="仿宋_GB2312" w:hAnsi="仿宋_GB2312" w:cs="仿宋_GB2312" w:eastAsia="仿宋_GB2312"/>
                <w:sz w:val="20"/>
              </w:rPr>
              <w:t>根据生态环境部办公厅《关于征求</w:t>
            </w:r>
            <w:r>
              <w:rPr>
                <w:rFonts w:ascii="仿宋_GB2312" w:hAnsi="仿宋_GB2312" w:cs="仿宋_GB2312" w:eastAsia="仿宋_GB2312"/>
                <w:sz w:val="20"/>
              </w:rPr>
              <w:t>&lt;自然保护地、生态保护红线生态破坏问题线索处理处置工作方案(征求意见稿)&gt;意见的函》(环办便函〔2025〕70号)要求开展监测工作。每两个月完成一次全省优于2米分辨率国产高分卫星影像数据的标准化处理，通过控制点匹配、正射校正、融合处理、真彩色处理等步骤，将原始影像遥感影像产品生产为真彩色影像产品。在此基础上，对全省生态保护红线、自然保护地和秦岭地区等重要生态空间开展生态问题线索筛选，按照生态环境部标准形成问题线索清单，数据质量符合行业标准要求。</w:t>
            </w:r>
          </w:p>
          <w:p>
            <w:pPr>
              <w:pStyle w:val="null3"/>
              <w:jc w:val="both"/>
            </w:pPr>
            <w:r>
              <w:rPr>
                <w:rFonts w:ascii="仿宋_GB2312" w:hAnsi="仿宋_GB2312" w:cs="仿宋_GB2312" w:eastAsia="仿宋_GB2312"/>
                <w:sz w:val="20"/>
              </w:rPr>
              <w:t xml:space="preserve">3.1 </w:t>
            </w:r>
            <w:r>
              <w:rPr>
                <w:rFonts w:ascii="仿宋_GB2312" w:hAnsi="仿宋_GB2312" w:cs="仿宋_GB2312" w:eastAsia="仿宋_GB2312"/>
                <w:sz w:val="20"/>
              </w:rPr>
              <w:t>国产高分卫星影像数据标准化处理</w:t>
            </w:r>
          </w:p>
          <w:p>
            <w:pPr>
              <w:pStyle w:val="null3"/>
              <w:jc w:val="both"/>
            </w:pPr>
            <w:r>
              <w:rPr>
                <w:rFonts w:ascii="仿宋_GB2312" w:hAnsi="仿宋_GB2312" w:cs="仿宋_GB2312" w:eastAsia="仿宋_GB2312"/>
                <w:sz w:val="20"/>
              </w:rPr>
              <w:t>1.坐标系统：采用“2000国家大地坐标系统（CGCS2000）”。</w:t>
            </w:r>
          </w:p>
          <w:p>
            <w:pPr>
              <w:pStyle w:val="null3"/>
              <w:jc w:val="both"/>
            </w:pPr>
            <w:r>
              <w:rPr>
                <w:rFonts w:ascii="仿宋_GB2312" w:hAnsi="仿宋_GB2312" w:cs="仿宋_GB2312" w:eastAsia="仿宋_GB2312"/>
                <w:sz w:val="20"/>
              </w:rPr>
              <w:t>2.高程基准：采用“1985国家高程基准”，单位采用“m”表示。</w:t>
            </w:r>
          </w:p>
          <w:p>
            <w:pPr>
              <w:pStyle w:val="null3"/>
              <w:jc w:val="both"/>
            </w:pPr>
            <w:r>
              <w:rPr>
                <w:rFonts w:ascii="仿宋_GB2312" w:hAnsi="仿宋_GB2312" w:cs="仿宋_GB2312" w:eastAsia="仿宋_GB2312"/>
                <w:sz w:val="20"/>
              </w:rPr>
              <w:t>3.分辨率：优于2米分辨率。</w:t>
            </w:r>
          </w:p>
          <w:p>
            <w:pPr>
              <w:pStyle w:val="null3"/>
              <w:jc w:val="both"/>
            </w:pPr>
            <w:r>
              <w:rPr>
                <w:rFonts w:ascii="仿宋_GB2312" w:hAnsi="仿宋_GB2312" w:cs="仿宋_GB2312" w:eastAsia="仿宋_GB2312"/>
                <w:sz w:val="20"/>
              </w:rPr>
              <w:t>4.投影方式：要求采用按照GB/T 17278-2009，标准分幅数据采用高斯-克里格投影，3度分带，以“m”为坐标单位，坐标值至少保留2位小数；按照行政区域组织的数据可不分带，采用地理坐标，经纬度值采用“°”为单位，用双精度浮点数表示，至少保留6位小数。</w:t>
            </w:r>
          </w:p>
          <w:p>
            <w:pPr>
              <w:pStyle w:val="null3"/>
              <w:jc w:val="both"/>
            </w:pPr>
            <w:r>
              <w:rPr>
                <w:rFonts w:ascii="仿宋_GB2312" w:hAnsi="仿宋_GB2312" w:cs="仿宋_GB2312" w:eastAsia="仿宋_GB2312"/>
                <w:sz w:val="20"/>
              </w:rPr>
              <w:t>5.比例尺：基本比例尺原则上不小于1:5万，基础数据不满足要求的可采用1:5万。</w:t>
            </w:r>
          </w:p>
          <w:p>
            <w:pPr>
              <w:pStyle w:val="null3"/>
              <w:jc w:val="both"/>
            </w:pPr>
            <w:r>
              <w:rPr>
                <w:rFonts w:ascii="仿宋_GB2312" w:hAnsi="仿宋_GB2312" w:cs="仿宋_GB2312" w:eastAsia="仿宋_GB2312"/>
                <w:sz w:val="20"/>
              </w:rPr>
              <w:t>6.遥感影像应经过几何校正、正射校正，以及必要的增强、融合等处理。遥感影像数据相对误差平原区不超过2个像元，山区不超过3-5个像元。</w:t>
            </w:r>
          </w:p>
          <w:p>
            <w:pPr>
              <w:pStyle w:val="null3"/>
              <w:jc w:val="both"/>
            </w:pPr>
            <w:r>
              <w:rPr>
                <w:rFonts w:ascii="仿宋_GB2312" w:hAnsi="仿宋_GB2312" w:cs="仿宋_GB2312" w:eastAsia="仿宋_GB2312"/>
                <w:sz w:val="20"/>
              </w:rPr>
              <w:t xml:space="preserve">3.2 </w:t>
            </w:r>
            <w:r>
              <w:rPr>
                <w:rFonts w:ascii="仿宋_GB2312" w:hAnsi="仿宋_GB2312" w:cs="仿宋_GB2312" w:eastAsia="仿宋_GB2312"/>
                <w:sz w:val="20"/>
              </w:rPr>
              <w:t>保护地与红线生态问题线索筛选</w:t>
            </w:r>
          </w:p>
          <w:p>
            <w:pPr>
              <w:pStyle w:val="null3"/>
              <w:jc w:val="both"/>
            </w:pPr>
            <w:r>
              <w:rPr>
                <w:rFonts w:ascii="仿宋_GB2312" w:hAnsi="仿宋_GB2312" w:cs="仿宋_GB2312" w:eastAsia="仿宋_GB2312"/>
                <w:sz w:val="20"/>
              </w:rPr>
              <w:t>根据《生态保护红线监管技术规范</w:t>
            </w:r>
            <w:r>
              <w:rPr>
                <w:rFonts w:ascii="仿宋_GB2312" w:hAnsi="仿宋_GB2312" w:cs="仿宋_GB2312" w:eastAsia="仿宋_GB2312"/>
                <w:sz w:val="20"/>
              </w:rPr>
              <w:t>疑似生态破坏问题图斑遥感识别（试行）》（</w:t>
            </w:r>
            <w:r>
              <w:rPr>
                <w:rFonts w:ascii="仿宋_GB2312" w:hAnsi="仿宋_GB2312" w:cs="仿宋_GB2312" w:eastAsia="仿宋_GB2312"/>
                <w:sz w:val="20"/>
              </w:rPr>
              <w:t>HJ 1337-2023），完成陕西省保护地与红线的人为活动变化检测。对比不同期影像，识别陕西省疑似地表状况变化图斑，形成地表状况变化产品，最小上图面积不小于400m</w:t>
            </w:r>
            <w:r>
              <w:rPr>
                <w:rFonts w:ascii="仿宋_GB2312" w:hAnsi="仿宋_GB2312" w:cs="仿宋_GB2312" w:eastAsia="仿宋_GB2312"/>
                <w:sz w:val="20"/>
                <w:vertAlign w:val="superscript"/>
              </w:rPr>
              <w:t>2</w:t>
            </w:r>
            <w:r>
              <w:rPr>
                <w:rFonts w:ascii="仿宋_GB2312" w:hAnsi="仿宋_GB2312" w:cs="仿宋_GB2312" w:eastAsia="仿宋_GB2312"/>
                <w:sz w:val="20"/>
              </w:rPr>
              <w:t>；陕西省保护地与红线人为活动变化图斑，涉及的人为活动类型包括：矿产资源开发、能源开发建设、工业开发建设、旅游开发、交通开发、养殖、居民点、农业开发、其他开发等</w:t>
            </w:r>
            <w:r>
              <w:rPr>
                <w:rFonts w:ascii="仿宋_GB2312" w:hAnsi="仿宋_GB2312" w:cs="仿宋_GB2312" w:eastAsia="仿宋_GB2312"/>
                <w:sz w:val="20"/>
              </w:rPr>
              <w:t>9类，</w:t>
            </w:r>
            <w:r>
              <w:rPr>
                <w:rFonts w:ascii="仿宋_GB2312" w:hAnsi="仿宋_GB2312" w:cs="仿宋_GB2312" w:eastAsia="仿宋_GB2312"/>
                <w:sz w:val="20"/>
              </w:rPr>
              <w:t>其中矿产资源开发、工业开发、能源开发最小上图面积</w:t>
            </w:r>
            <w:r>
              <w:rPr>
                <w:rFonts w:ascii="仿宋_GB2312" w:hAnsi="仿宋_GB2312" w:cs="仿宋_GB2312" w:eastAsia="仿宋_GB2312"/>
                <w:sz w:val="20"/>
              </w:rPr>
              <w:t>200m</w:t>
            </w:r>
            <w:r>
              <w:rPr>
                <w:rFonts w:ascii="仿宋_GB2312" w:hAnsi="仿宋_GB2312" w:cs="仿宋_GB2312" w:eastAsia="仿宋_GB2312"/>
                <w:sz w:val="20"/>
                <w:vertAlign w:val="superscript"/>
              </w:rPr>
              <w:t>2</w:t>
            </w:r>
            <w:r>
              <w:rPr>
                <w:rFonts w:ascii="仿宋_GB2312" w:hAnsi="仿宋_GB2312" w:cs="仿宋_GB2312" w:eastAsia="仿宋_GB2312"/>
                <w:sz w:val="20"/>
              </w:rPr>
              <w:t>，旅游开发、居民点、养殖开发和其他开发类型的图斑，最小上图面积为</w:t>
            </w:r>
            <w:r>
              <w:rPr>
                <w:rFonts w:ascii="仿宋_GB2312" w:hAnsi="仿宋_GB2312" w:cs="仿宋_GB2312" w:eastAsia="仿宋_GB2312"/>
                <w:sz w:val="20"/>
              </w:rPr>
              <w:t>400m</w:t>
            </w:r>
            <w:r>
              <w:rPr>
                <w:rFonts w:ascii="仿宋_GB2312" w:hAnsi="仿宋_GB2312" w:cs="仿宋_GB2312" w:eastAsia="仿宋_GB2312"/>
                <w:sz w:val="20"/>
                <w:vertAlign w:val="superscript"/>
              </w:rPr>
              <w:t>2</w:t>
            </w:r>
            <w:r>
              <w:rPr>
                <w:rFonts w:ascii="仿宋_GB2312" w:hAnsi="仿宋_GB2312" w:cs="仿宋_GB2312" w:eastAsia="仿宋_GB2312"/>
                <w:sz w:val="20"/>
              </w:rPr>
              <w:t>。道路、水渠、输电线路等线性类型的人为活动变化图斑，宽度不小于</w:t>
            </w:r>
            <w:r>
              <w:rPr>
                <w:rFonts w:ascii="仿宋_GB2312" w:hAnsi="仿宋_GB2312" w:cs="仿宋_GB2312" w:eastAsia="仿宋_GB2312"/>
                <w:sz w:val="20"/>
              </w:rPr>
              <w:t>6m，长度不低于100m。风电设施、输变电塔、钻井平台等重要点状人工设施，无最小图斑面积规定，按照目标地物实际变化范围全部提取。森林采伐、耕地开垦图斑，最小上图面积为1公顷。</w:t>
            </w:r>
            <w:r>
              <w:rPr>
                <w:rFonts w:ascii="仿宋_GB2312" w:hAnsi="仿宋_GB2312" w:cs="仿宋_GB2312" w:eastAsia="仿宋_GB2312"/>
                <w:sz w:val="20"/>
              </w:rPr>
              <w:t>人为活动涵盖新增、规模扩大等不少于</w:t>
            </w:r>
            <w:r>
              <w:rPr>
                <w:rFonts w:ascii="仿宋_GB2312" w:hAnsi="仿宋_GB2312" w:cs="仿宋_GB2312" w:eastAsia="仿宋_GB2312"/>
                <w:sz w:val="20"/>
              </w:rPr>
              <w:t>2种变化情形，完成陕西省107个保护地，以及涉及生态保护红线的102个县域的人为活动变化图斑产品筛选工作。</w:t>
            </w:r>
          </w:p>
          <w:p>
            <w:pPr>
              <w:pStyle w:val="null3"/>
              <w:jc w:val="both"/>
            </w:pPr>
            <w:r>
              <w:rPr>
                <w:rFonts w:ascii="仿宋_GB2312" w:hAnsi="仿宋_GB2312" w:cs="仿宋_GB2312" w:eastAsia="仿宋_GB2312"/>
                <w:sz w:val="20"/>
              </w:rPr>
              <w:t>3.3 秦岭地区生态问题线索筛选</w:t>
            </w:r>
          </w:p>
          <w:p>
            <w:pPr>
              <w:pStyle w:val="null3"/>
              <w:jc w:val="both"/>
            </w:pPr>
            <w:r>
              <w:rPr>
                <w:rFonts w:ascii="仿宋_GB2312" w:hAnsi="仿宋_GB2312" w:cs="仿宋_GB2312" w:eastAsia="仿宋_GB2312"/>
                <w:sz w:val="20"/>
              </w:rPr>
              <w:t>参照《生态保护红线监管技术规范</w:t>
            </w:r>
            <w:r>
              <w:rPr>
                <w:rFonts w:ascii="仿宋_GB2312" w:hAnsi="仿宋_GB2312" w:cs="仿宋_GB2312" w:eastAsia="仿宋_GB2312"/>
                <w:sz w:val="20"/>
              </w:rPr>
              <w:t>疑似生态破坏问题图斑遥感识别（试行）》（</w:t>
            </w:r>
            <w:r>
              <w:rPr>
                <w:rFonts w:ascii="仿宋_GB2312" w:hAnsi="仿宋_GB2312" w:cs="仿宋_GB2312" w:eastAsia="仿宋_GB2312"/>
                <w:sz w:val="20"/>
              </w:rPr>
              <w:t>HJ 1337-2023），完成陕西省秦岭地区的人为活动变化检测。对比不同期影像，识别陕西省疑似地表状况变化图斑，形成地表状况变化产品，最小上图面积不小于400m</w:t>
            </w:r>
            <w:r>
              <w:rPr>
                <w:rFonts w:ascii="仿宋_GB2312" w:hAnsi="仿宋_GB2312" w:cs="仿宋_GB2312" w:eastAsia="仿宋_GB2312"/>
                <w:sz w:val="20"/>
                <w:vertAlign w:val="superscript"/>
              </w:rPr>
              <w:t>2</w:t>
            </w:r>
            <w:r>
              <w:rPr>
                <w:rFonts w:ascii="仿宋_GB2312" w:hAnsi="仿宋_GB2312" w:cs="仿宋_GB2312" w:eastAsia="仿宋_GB2312"/>
                <w:sz w:val="20"/>
              </w:rPr>
              <w:t>；陕西省秦岭地区人为活动变化图斑，涉及的人为活动类型包括：矿产资源开发、能源开发、工业开发、交通开发、旅游开发、其他开发建设等</w:t>
            </w:r>
            <w:r>
              <w:rPr>
                <w:rFonts w:ascii="仿宋_GB2312" w:hAnsi="仿宋_GB2312" w:cs="仿宋_GB2312" w:eastAsia="仿宋_GB2312"/>
                <w:sz w:val="20"/>
              </w:rPr>
              <w:t>6类重要开发建设类型，其中矿产资源开发、工业开发、能源开发最小上图面积200m</w:t>
            </w:r>
            <w:r>
              <w:rPr>
                <w:rFonts w:ascii="仿宋_GB2312" w:hAnsi="仿宋_GB2312" w:cs="仿宋_GB2312" w:eastAsia="仿宋_GB2312"/>
                <w:sz w:val="20"/>
                <w:vertAlign w:val="superscript"/>
              </w:rPr>
              <w:t>2</w:t>
            </w:r>
            <w:r>
              <w:rPr>
                <w:rFonts w:ascii="仿宋_GB2312" w:hAnsi="仿宋_GB2312" w:cs="仿宋_GB2312" w:eastAsia="仿宋_GB2312"/>
                <w:sz w:val="20"/>
              </w:rPr>
              <w:t>，旅游开发和其他开发类型的图斑，最小上图面积为</w:t>
            </w:r>
            <w:r>
              <w:rPr>
                <w:rFonts w:ascii="仿宋_GB2312" w:hAnsi="仿宋_GB2312" w:cs="仿宋_GB2312" w:eastAsia="仿宋_GB2312"/>
                <w:sz w:val="20"/>
              </w:rPr>
              <w:t>400m</w:t>
            </w:r>
            <w:r>
              <w:rPr>
                <w:rFonts w:ascii="仿宋_GB2312" w:hAnsi="仿宋_GB2312" w:cs="仿宋_GB2312" w:eastAsia="仿宋_GB2312"/>
                <w:sz w:val="20"/>
                <w:vertAlign w:val="superscript"/>
              </w:rPr>
              <w:t>2</w:t>
            </w:r>
            <w:r>
              <w:rPr>
                <w:rFonts w:ascii="仿宋_GB2312" w:hAnsi="仿宋_GB2312" w:cs="仿宋_GB2312" w:eastAsia="仿宋_GB2312"/>
                <w:sz w:val="20"/>
              </w:rPr>
              <w:t>。道路、水渠、输电线路等线性类型的人为活动变化图斑，宽度不小于</w:t>
            </w:r>
            <w:r>
              <w:rPr>
                <w:rFonts w:ascii="仿宋_GB2312" w:hAnsi="仿宋_GB2312" w:cs="仿宋_GB2312" w:eastAsia="仿宋_GB2312"/>
                <w:sz w:val="20"/>
              </w:rPr>
              <w:t>6m，长度不低于100m。风电设施、输变电塔、钻井平台等重要点状人工设施，无最小图斑面积规定，按照目标地物实际变化范围全部提取。森林采伐、耕地开垦图斑，最小上图面积为1hm</w:t>
            </w:r>
            <w:r>
              <w:rPr>
                <w:rFonts w:ascii="仿宋_GB2312" w:hAnsi="仿宋_GB2312" w:cs="仿宋_GB2312" w:eastAsia="仿宋_GB2312"/>
                <w:sz w:val="20"/>
                <w:vertAlign w:val="superscript"/>
              </w:rPr>
              <w:t>2</w:t>
            </w:r>
            <w:r>
              <w:rPr>
                <w:rFonts w:ascii="仿宋_GB2312" w:hAnsi="仿宋_GB2312" w:cs="仿宋_GB2312" w:eastAsia="仿宋_GB2312"/>
                <w:sz w:val="20"/>
              </w:rPr>
              <w:t>。人为活动变化类型涵盖新增、规模扩大等不少于</w:t>
            </w:r>
            <w:r>
              <w:rPr>
                <w:rFonts w:ascii="仿宋_GB2312" w:hAnsi="仿宋_GB2312" w:cs="仿宋_GB2312" w:eastAsia="仿宋_GB2312"/>
                <w:sz w:val="20"/>
              </w:rPr>
              <w:t>2种变化情形，完成陕西省秦岭地区44个县域的人为活动变化图斑产品筛选。</w:t>
            </w:r>
          </w:p>
          <w:p>
            <w:pPr>
              <w:pStyle w:val="null3"/>
              <w:jc w:val="both"/>
            </w:pPr>
            <w:r>
              <w:rPr>
                <w:rFonts w:ascii="仿宋_GB2312" w:hAnsi="仿宋_GB2312" w:cs="仿宋_GB2312" w:eastAsia="仿宋_GB2312"/>
                <w:sz w:val="20"/>
              </w:rPr>
              <w:t>3.4 问题线索清单生产与报告编制</w:t>
            </w:r>
          </w:p>
          <w:p>
            <w:pPr>
              <w:pStyle w:val="null3"/>
              <w:jc w:val="both"/>
            </w:pPr>
            <w:r>
              <w:rPr>
                <w:rFonts w:ascii="仿宋_GB2312" w:hAnsi="仿宋_GB2312" w:cs="仿宋_GB2312" w:eastAsia="仿宋_GB2312"/>
                <w:sz w:val="20"/>
              </w:rPr>
              <w:t>根据《生态保护红线监管技术规范</w:t>
            </w:r>
            <w:r>
              <w:rPr>
                <w:rFonts w:ascii="仿宋_GB2312" w:hAnsi="仿宋_GB2312" w:cs="仿宋_GB2312" w:eastAsia="仿宋_GB2312"/>
                <w:sz w:val="20"/>
              </w:rPr>
              <w:t>疑似生态破坏问题图斑遥感识别（试行）》（</w:t>
            </w:r>
            <w:r>
              <w:rPr>
                <w:rFonts w:ascii="仿宋_GB2312" w:hAnsi="仿宋_GB2312" w:cs="仿宋_GB2312" w:eastAsia="仿宋_GB2312"/>
                <w:sz w:val="20"/>
              </w:rPr>
              <w:t>HJ 1337-2023），从陕西省保护地与红线、秦岭地区等重要生态空间人为活动变化图斑产品中识别有生态破坏风险的图斑，并完成图斑中包括疑似问题类型名称、图斑变化类型、生态空间类型等31个属性字段的补充完善，对纳入线索清单的图斑完成前后时相遥感影像标准化截图，编写问题线索遥感监测报告，完成疑似生态破坏图斑问题线索清单生产。</w:t>
            </w:r>
          </w:p>
          <w:p>
            <w:pPr>
              <w:pStyle w:val="null3"/>
              <w:jc w:val="both"/>
            </w:pPr>
            <w:r>
              <w:rPr>
                <w:rFonts w:ascii="仿宋_GB2312" w:hAnsi="仿宋_GB2312" w:cs="仿宋_GB2312" w:eastAsia="仿宋_GB2312"/>
                <w:sz w:val="20"/>
              </w:rPr>
              <w:t>3.5 成果要求与质控</w:t>
            </w:r>
          </w:p>
          <w:p>
            <w:pPr>
              <w:pStyle w:val="null3"/>
              <w:jc w:val="both"/>
            </w:pPr>
            <w:r>
              <w:rPr>
                <w:rFonts w:ascii="仿宋_GB2312" w:hAnsi="仿宋_GB2312" w:cs="仿宋_GB2312" w:eastAsia="仿宋_GB2312"/>
                <w:sz w:val="20"/>
              </w:rPr>
              <w:t>1.遥感数据处理方面，遥感影像校正精度，平原和丘陵地区的校正精度不超过2个像元，山区不超过4个像元。融合后的影像目视无重影、无模糊及光谱失真现象，边界清晰、无明显错位，能够反映细部特征。</w:t>
            </w:r>
          </w:p>
          <w:p>
            <w:pPr>
              <w:pStyle w:val="null3"/>
              <w:jc w:val="both"/>
            </w:pPr>
            <w:r>
              <w:rPr>
                <w:rFonts w:ascii="仿宋_GB2312" w:hAnsi="仿宋_GB2312" w:cs="仿宋_GB2312" w:eastAsia="仿宋_GB2312"/>
                <w:sz w:val="20"/>
              </w:rPr>
              <w:t>2.问题线索提取方面，严格按照《生态保护红线监管技术规范 疑似生态破坏问题图斑遥感识别（试行）》（HJ 1337-2023）,人为活动图斑漏检、误检比例不超过10%，属性字段填写错误率不超过10%，图斑勾绘与影像一致、偏差不超过3个像元,不出现历次已监测或核查图斑、后来无变化的重复图斑，影像截图及数据组织符合要求。</w:t>
            </w:r>
          </w:p>
          <w:p>
            <w:pPr>
              <w:pStyle w:val="null3"/>
              <w:jc w:val="both"/>
            </w:pPr>
            <w:r>
              <w:rPr>
                <w:rFonts w:ascii="仿宋_GB2312" w:hAnsi="仿宋_GB2312" w:cs="仿宋_GB2312" w:eastAsia="仿宋_GB2312"/>
                <w:sz w:val="20"/>
              </w:rPr>
              <w:t>3.线索清单制作方面，清单应做到内容详实，层次清晰，文字通顺，条理性强，充分体现技术路线的科学性和实施过程的严谨性。</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b/>
              </w:rPr>
              <w:t>陕西省流域干流及重要支流排污口遥感排查</w:t>
            </w:r>
          </w:p>
          <w:p>
            <w:pPr>
              <w:pStyle w:val="null3"/>
              <w:jc w:val="both"/>
            </w:pPr>
            <w:r>
              <w:rPr>
                <w:rFonts w:ascii="仿宋_GB2312" w:hAnsi="仿宋_GB2312" w:cs="仿宋_GB2312" w:eastAsia="仿宋_GB2312"/>
                <w:sz w:val="20"/>
              </w:rPr>
              <w:t>利用卫星遥感手段，开展陕西省流域干流及重要支流（西汉水、丹江、堵河、汉江、嘉陵江、金钱河、黄河（干流）、渭河、泾河、北洛河、无定河、榆溪河、窟野河（乌兰木伦河）、秃尾河、延河、黄甫川、清水川、孤山川、清涧河、千河、马莲河、双桥河）排污口排查工作，识别与定位遗漏或新增的排污口，建立排污口动态清单，频次为年</w:t>
            </w:r>
            <w:r>
              <w:rPr>
                <w:rFonts w:ascii="仿宋_GB2312" w:hAnsi="仿宋_GB2312" w:cs="仿宋_GB2312" w:eastAsia="仿宋_GB2312"/>
                <w:sz w:val="20"/>
              </w:rPr>
              <w:t>;对年度入河排污口检查中发现的问题，纳入清单开展追踪，全面完成陕西省内的流域干流及重要支流排污口卫星遥感排查和检查问题整治情况卫星遥感追踪。</w:t>
            </w:r>
          </w:p>
          <w:p>
            <w:pPr>
              <w:pStyle w:val="null3"/>
              <w:jc w:val="both"/>
            </w:pPr>
            <w:r>
              <w:rPr>
                <w:rFonts w:ascii="仿宋_GB2312" w:hAnsi="仿宋_GB2312" w:cs="仿宋_GB2312" w:eastAsia="仿宋_GB2312"/>
                <w:sz w:val="20"/>
              </w:rPr>
              <w:t>4.1</w:t>
            </w:r>
            <w:r>
              <w:rPr>
                <w:rFonts w:ascii="仿宋_GB2312" w:hAnsi="仿宋_GB2312" w:cs="仿宋_GB2312" w:eastAsia="仿宋_GB2312"/>
                <w:sz w:val="20"/>
              </w:rPr>
              <w:t xml:space="preserve"> </w:t>
            </w:r>
            <w:r>
              <w:rPr>
                <w:rFonts w:ascii="仿宋_GB2312" w:hAnsi="仿宋_GB2312" w:cs="仿宋_GB2312" w:eastAsia="仿宋_GB2312"/>
                <w:sz w:val="20"/>
              </w:rPr>
              <w:t>工作范围</w:t>
            </w:r>
          </w:p>
          <w:p>
            <w:pPr>
              <w:pStyle w:val="null3"/>
              <w:jc w:val="both"/>
            </w:pPr>
            <w:r>
              <w:rPr>
                <w:rFonts w:ascii="仿宋_GB2312" w:hAnsi="仿宋_GB2312" w:cs="仿宋_GB2312" w:eastAsia="仿宋_GB2312"/>
                <w:sz w:val="20"/>
              </w:rPr>
              <w:t>根据生态环境部、水利部联合发布《关于贯彻落实</w:t>
            </w:r>
            <w:r>
              <w:rPr>
                <w:rFonts w:ascii="仿宋_GB2312" w:hAnsi="仿宋_GB2312" w:cs="仿宋_GB2312" w:eastAsia="仿宋_GB2312"/>
                <w:sz w:val="20"/>
              </w:rPr>
              <w:t>&lt;国务院办公厅关于加强入河入海排污口监督管理工作实施意见&gt;的通知》（环办水体〔2022〕34号），陕西省流域干流及重要支流（水体）包括西汉水、丹江、堵河、汉江、嘉陵江、金钱河、黄河（干流）、渭河、泾河、北洛河、无定河、榆溪河、窟野河（乌兰木伦河）、秃尾河、延河、黄甫川、清水川、孤山川、清涧河、千河、马莲河、双桥河。</w:t>
            </w:r>
          </w:p>
          <w:p>
            <w:pPr>
              <w:pStyle w:val="null3"/>
              <w:jc w:val="both"/>
            </w:pPr>
            <w:r>
              <w:rPr>
                <w:rFonts w:ascii="仿宋_GB2312" w:hAnsi="仿宋_GB2312" w:cs="仿宋_GB2312" w:eastAsia="仿宋_GB2312"/>
                <w:sz w:val="20"/>
              </w:rPr>
              <w:t>4.2 流域干流及重要支流排污口卫星遥感排查</w:t>
            </w:r>
          </w:p>
          <w:p>
            <w:pPr>
              <w:pStyle w:val="null3"/>
              <w:jc w:val="both"/>
            </w:pPr>
            <w:r>
              <w:rPr>
                <w:rFonts w:ascii="仿宋_GB2312" w:hAnsi="仿宋_GB2312" w:cs="仿宋_GB2312" w:eastAsia="仿宋_GB2312"/>
                <w:sz w:val="20"/>
              </w:rPr>
              <w:t>充分借鉴长江、黄河、渤海等排污口排查整治试点经验做法，依据国家有关政策文件和技术规范，按照</w:t>
            </w:r>
            <w:r>
              <w:rPr>
                <w:rFonts w:ascii="仿宋_GB2312" w:hAnsi="仿宋_GB2312" w:cs="仿宋_GB2312" w:eastAsia="仿宋_GB2312"/>
                <w:sz w:val="20"/>
              </w:rPr>
              <w:t>“有口皆查、应查尽查”要求，开展全省流域干流及重要支流排污口卫星遥感排查，识别与定位遗漏排污口，建立排污口动态清单。传统入河排污口人工排查和监督监管方法大量消耗人力，对隐蔽性排口及排污问题难以发现。为保障入河排污口排查整治质量，对陕西省流域干流及重要支流排污口开展遥感排查，针对地方城市漏查漏报排污口难以发现的问题，利用入河排污口遥感识别技术经验，结合全国入河排污口监督管理信息化系统基础数据库等数据，实现漏查漏报排污口精准识别，建立排污口动态清单，频次为年。</w:t>
            </w:r>
          </w:p>
          <w:p>
            <w:pPr>
              <w:pStyle w:val="null3"/>
              <w:jc w:val="both"/>
            </w:pPr>
            <w:r>
              <w:rPr>
                <w:rFonts w:ascii="仿宋_GB2312" w:hAnsi="仿宋_GB2312" w:cs="仿宋_GB2312" w:eastAsia="仿宋_GB2312"/>
                <w:sz w:val="20"/>
              </w:rPr>
              <w:t>4.3 排污口检查问题整治情况卫星遥感追踪</w:t>
            </w:r>
          </w:p>
          <w:p>
            <w:pPr>
              <w:pStyle w:val="null3"/>
              <w:jc w:val="both"/>
            </w:pPr>
            <w:r>
              <w:rPr>
                <w:rFonts w:ascii="仿宋_GB2312" w:hAnsi="仿宋_GB2312" w:cs="仿宋_GB2312" w:eastAsia="仿宋_GB2312"/>
                <w:sz w:val="20"/>
              </w:rPr>
              <w:t>排污口整治以截污治污为重点，与城乡环境基础设施建设、污水管网配套建设、污水处理能力提升等统筹安排，解决污水管网混接、错接、漏接等难点、痛点问题，对年度入河排污口检查中发现的问题持续追踪，着力解决一批污水溢流直排等问题。充分利用海量历史卫星影像数据，对年度入河排污口检查中发现的问题纳入清单持续追踪，通过对比不同时相的高分辨率卫星影像，分析问题清单中入河排污口的变化情况，确保问题整改到位，持续改善水生态环境。</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b/>
              </w:rPr>
              <w:t>主要成果</w:t>
            </w:r>
          </w:p>
          <w:p>
            <w:pPr>
              <w:pStyle w:val="null3"/>
              <w:jc w:val="both"/>
            </w:pPr>
            <w:r>
              <w:rPr>
                <w:rFonts w:ascii="仿宋_GB2312" w:hAnsi="仿宋_GB2312" w:cs="仿宋_GB2312" w:eastAsia="仿宋_GB2312"/>
                <w:sz w:val="20"/>
              </w:rPr>
              <w:t>5.1 影像产品</w:t>
            </w:r>
          </w:p>
          <w:p>
            <w:pPr>
              <w:pStyle w:val="null3"/>
              <w:jc w:val="both"/>
            </w:pPr>
            <w:r>
              <w:rPr>
                <w:rFonts w:ascii="仿宋_GB2312" w:hAnsi="仿宋_GB2312" w:cs="仿宋_GB2312" w:eastAsia="仿宋_GB2312"/>
                <w:sz w:val="20"/>
              </w:rPr>
              <w:t>经正射校正后的陕西省</w:t>
            </w:r>
            <w:r>
              <w:rPr>
                <w:rFonts w:ascii="仿宋_GB2312" w:hAnsi="仿宋_GB2312" w:cs="仿宋_GB2312" w:eastAsia="仿宋_GB2312"/>
                <w:sz w:val="20"/>
              </w:rPr>
              <w:t>2025年2米分辨率融合影像产品，每2月一期，共</w:t>
            </w:r>
            <w:r>
              <w:rPr>
                <w:rFonts w:ascii="仿宋_GB2312" w:hAnsi="仿宋_GB2312" w:cs="仿宋_GB2312" w:eastAsia="仿宋_GB2312"/>
                <w:sz w:val="20"/>
              </w:rPr>
              <w:t>6</w:t>
            </w:r>
            <w:r>
              <w:rPr>
                <w:rFonts w:ascii="仿宋_GB2312" w:hAnsi="仿宋_GB2312" w:cs="仿宋_GB2312" w:eastAsia="仿宋_GB2312"/>
                <w:sz w:val="20"/>
              </w:rPr>
              <w:t>期，产品为覆盖陕西省全域的单景实体影像数据，格式为</w:t>
            </w:r>
            <w:r>
              <w:rPr>
                <w:rFonts w:ascii="仿宋_GB2312" w:hAnsi="仿宋_GB2312" w:cs="仿宋_GB2312" w:eastAsia="仿宋_GB2312"/>
                <w:sz w:val="20"/>
              </w:rPr>
              <w:t>TIFF格式。</w:t>
            </w:r>
          </w:p>
          <w:p>
            <w:pPr>
              <w:pStyle w:val="null3"/>
              <w:jc w:val="both"/>
            </w:pPr>
            <w:r>
              <w:rPr>
                <w:rFonts w:ascii="仿宋_GB2312" w:hAnsi="仿宋_GB2312" w:cs="仿宋_GB2312" w:eastAsia="仿宋_GB2312"/>
                <w:sz w:val="20"/>
              </w:rPr>
              <w:t>5.2 问题线索产品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1）每2个月提供一次覆盖陕西省保护地与红线生态问题线索产品，包括生态问题线索图斑矢量、全省每期图斑线索Excel清单表格。</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2）每2个月提供一次覆盖陕西省秦岭地区生态问题线索产品，包括生态问题线索图斑矢量、全省每期图斑线索Excel清单表格。</w:t>
            </w:r>
          </w:p>
          <w:p>
            <w:pPr>
              <w:pStyle w:val="null3"/>
              <w:jc w:val="both"/>
            </w:pPr>
            <w:r>
              <w:rPr>
                <w:rFonts w:ascii="仿宋_GB2312" w:hAnsi="仿宋_GB2312" w:cs="仿宋_GB2312" w:eastAsia="仿宋_GB2312"/>
                <w:sz w:val="20"/>
              </w:rPr>
              <w:t>5.3 排污口排查产品</w:t>
            </w:r>
          </w:p>
          <w:p>
            <w:pPr>
              <w:pStyle w:val="null3"/>
              <w:jc w:val="both"/>
            </w:pPr>
            <w:r>
              <w:rPr>
                <w:rFonts w:ascii="仿宋_GB2312" w:hAnsi="仿宋_GB2312" w:cs="仿宋_GB2312" w:eastAsia="仿宋_GB2312"/>
                <w:sz w:val="20"/>
              </w:rPr>
              <w:t>陕西省流域干流及重要支流排污口卫星遥感排查矢量数据和线索清单，矢量数据为</w:t>
            </w:r>
            <w:r>
              <w:rPr>
                <w:rFonts w:ascii="仿宋_GB2312" w:hAnsi="仿宋_GB2312" w:cs="仿宋_GB2312" w:eastAsia="仿宋_GB2312"/>
                <w:sz w:val="20"/>
              </w:rPr>
              <w:t>shapefile或kml格式，线索清单为excel或word格式。</w:t>
            </w:r>
          </w:p>
          <w:p>
            <w:pPr>
              <w:pStyle w:val="null3"/>
              <w:jc w:val="both"/>
            </w:pPr>
            <w:r>
              <w:rPr>
                <w:rFonts w:ascii="仿宋_GB2312" w:hAnsi="仿宋_GB2312" w:cs="仿宋_GB2312" w:eastAsia="仿宋_GB2312"/>
                <w:sz w:val="20"/>
              </w:rPr>
              <w:t>5.4 排污口问题追踪产品</w:t>
            </w:r>
          </w:p>
          <w:p>
            <w:pPr>
              <w:pStyle w:val="null3"/>
              <w:jc w:val="both"/>
            </w:pPr>
            <w:r>
              <w:rPr>
                <w:rFonts w:ascii="仿宋_GB2312" w:hAnsi="仿宋_GB2312" w:cs="仿宋_GB2312" w:eastAsia="仿宋_GB2312"/>
                <w:sz w:val="20"/>
              </w:rPr>
              <w:t>排污口检查问题整治情况卫星遥感追踪清单，清单为</w:t>
            </w:r>
            <w:r>
              <w:rPr>
                <w:rFonts w:ascii="仿宋_GB2312" w:hAnsi="仿宋_GB2312" w:cs="仿宋_GB2312" w:eastAsia="仿宋_GB2312"/>
                <w:sz w:val="20"/>
              </w:rPr>
              <w:t>excel或word格式。</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保障措施</w:t>
            </w:r>
          </w:p>
          <w:p>
            <w:pPr>
              <w:pStyle w:val="null3"/>
              <w:jc w:val="both"/>
            </w:pPr>
            <w:r>
              <w:rPr>
                <w:rFonts w:ascii="仿宋_GB2312" w:hAnsi="仿宋_GB2312" w:cs="仿宋_GB2312" w:eastAsia="仿宋_GB2312"/>
                <w:sz w:val="20"/>
              </w:rPr>
              <w:t>6.1 保障要求</w:t>
            </w:r>
          </w:p>
          <w:p>
            <w:pPr>
              <w:pStyle w:val="null3"/>
              <w:jc w:val="both"/>
            </w:pPr>
            <w:r>
              <w:rPr>
                <w:rFonts w:ascii="仿宋_GB2312" w:hAnsi="仿宋_GB2312" w:cs="仿宋_GB2312" w:eastAsia="仿宋_GB2312"/>
                <w:sz w:val="20"/>
              </w:rPr>
              <w:t>项目完成时间：合同签订后至</w:t>
            </w:r>
            <w:r>
              <w:rPr>
                <w:rFonts w:ascii="仿宋_GB2312" w:hAnsi="仿宋_GB2312" w:cs="仿宋_GB2312" w:eastAsia="仿宋_GB2312"/>
                <w:sz w:val="20"/>
              </w:rPr>
              <w:t>2026年6月30日之前。</w:t>
            </w:r>
          </w:p>
          <w:p>
            <w:pPr>
              <w:pStyle w:val="null3"/>
              <w:jc w:val="both"/>
            </w:pPr>
            <w:r>
              <w:rPr>
                <w:rFonts w:ascii="仿宋_GB2312" w:hAnsi="仿宋_GB2312" w:cs="仿宋_GB2312" w:eastAsia="仿宋_GB2312"/>
                <w:sz w:val="20"/>
              </w:rPr>
              <w:t>项目交付后服务质保期：</w:t>
            </w:r>
            <w:r>
              <w:rPr>
                <w:rFonts w:ascii="仿宋_GB2312" w:hAnsi="仿宋_GB2312" w:cs="仿宋_GB2312" w:eastAsia="仿宋_GB2312"/>
                <w:sz w:val="20"/>
              </w:rPr>
              <w:t>1年。</w:t>
            </w:r>
          </w:p>
          <w:p>
            <w:pPr>
              <w:pStyle w:val="null3"/>
              <w:jc w:val="both"/>
            </w:pPr>
            <w:r>
              <w:rPr>
                <w:rFonts w:ascii="仿宋_GB2312" w:hAnsi="仿宋_GB2312" w:cs="仿宋_GB2312" w:eastAsia="仿宋_GB2312"/>
                <w:sz w:val="20"/>
              </w:rPr>
              <w:t>6.2 交付保障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1）投标人应按规定的时间分批次提交成果。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如果遇到可能妨碍按时提供成果的情形时，投标人应立刻以书面形式将迟延的事实、可能迟延的期限和理由通知采购人，采购人收到通知后，应于2日内对情况进行评估，并确定是否同意延期交付及延期交付时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除双方另有约定外，如果投标人没有按照规定的时间提交相应成果，且没有在同意的延长期限内完成提交，则每逾期一日，投标人应按逾期交付成果分项合同额的1%，向采购人支付误期赔偿费用，直至提供该项成果为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4）如果投标人延迟交付时间超过30日，则视为投标人不能完成项目，采购人有权终止项目，投标人除退还已收取的货款外，还应向采购人赔偿合同额10%的违约金。</w:t>
            </w:r>
          </w:p>
          <w:p>
            <w:pPr>
              <w:pStyle w:val="null3"/>
              <w:jc w:val="both"/>
            </w:pPr>
            <w:r>
              <w:rPr>
                <w:rFonts w:ascii="仿宋_GB2312" w:hAnsi="仿宋_GB2312" w:cs="仿宋_GB2312" w:eastAsia="仿宋_GB2312"/>
                <w:sz w:val="20"/>
              </w:rPr>
              <w:t>6.3 质量保障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1）投标人应保证所提供的的各项成果符合项目技术要求，并根据采购人上级单位的最新要求及时更新各项成果技术标准，同时按照采购人确定的最新技术要求提交成果；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2）如投标人提供的分项成果与项目技术要求不相符合，应按照技术要求于10天内完成整改，提交采购人审核，由此问题造成的损失和相关处理费用，应由投标人负责；</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3）如果投标人整改后的成果仍不符合采购人要求或在10天内没有完成整改，则采购人有权拒收投标人提供的该分项服务、拒付该分项价款，对已发生付款行为，投标人应返还采购人已支付的分项价款；</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如投标人提供的全部服务标准与项目要求不相符合，则采购人有权拒收投标人提供的服务、解除合同、拒付合同项下的价款并追究投标人违约责任，投标人应返还采购人已支付的全部款项，并按合同总价款的20%向采购人支付违约金并赔偿采购人因此而遭受的一切损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本项目通过电子化交易系统投标，供应商除需在电子化交易系统上传投标文件外，另外还需在投标截止时间前，向代理机构递交密封完好的系统生成的纸质版投标文件（一份，胶装），密封封套上标注项目名称、项目编号及供应商名称。有关报价文件，供应商可以不提供。开标当日，供应商应保持通讯畅通，以便出现询标时能及时在线。 二、非实质性偏离：非实质性偏差不影响投标文件的有效性。以下情况属于非实质性偏差：1.文字表述的内容含义不明确的；2.同类问题表述不一致的；3.有明显文字和计算错误的；4.提供的技术信息和资料不完整的；5.评标委员会认定的其他非实质性偏差。 三、中小企业判定：是否属于中小企业，供应商按《政府采购促进中小企业发展管理办法》（财库〔2020〕46号）和《统计上大中小微型企业划分办法（2017）》（国统字﹝2017﹞213号）其他未列明行业划型标准判定，并承担责任。如判定原则与第五章不一致的，以此为准。 四、本文件中供应商也称投标人，采购文件也称招标文件。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提供参加本次政府采购活动前3年内在经营活动中没有重大违纪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 1.投标文件封面。 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合同签订后至2026年6月30日</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合同签订后10日内，支付合同总金额的70%，项目结束通过验收30日内，支付合同总金额30%。</w:t>
            </w:r>
          </w:p>
        </w:tc>
        <w:tc>
          <w:tcPr>
            <w:tcW w:type="dxa" w:w="1661"/>
          </w:tcPr>
          <w:p>
            <w:pPr>
              <w:pStyle w:val="null3"/>
            </w:pPr>
            <w:r>
              <w:rPr>
                <w:rFonts w:ascii="仿宋_GB2312" w:hAnsi="仿宋_GB2312" w:cs="仿宋_GB2312" w:eastAsia="仿宋_GB2312"/>
              </w:rPr>
              <w:t>主要商务条款响应偏离表.docx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对项目重难点的分析</w:t>
            </w:r>
          </w:p>
        </w:tc>
        <w:tc>
          <w:tcPr>
            <w:tcW w:type="dxa" w:w="2492"/>
          </w:tcPr>
          <w:p>
            <w:pPr>
              <w:pStyle w:val="null3"/>
            </w:pPr>
            <w:r>
              <w:rPr>
                <w:rFonts w:ascii="仿宋_GB2312" w:hAnsi="仿宋_GB2312" w:cs="仿宋_GB2312" w:eastAsia="仿宋_GB2312"/>
              </w:rPr>
              <w:t>对项目理解深刻，对项目工作重点、难点认识准确，描述清晰，能对重难点提出针对性的办法，办法具体，内容详实，得2分，每有一处缺陷扣0.5分，扣完为止。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对项目重难点的分析.docx</w:t>
            </w:r>
          </w:p>
        </w:tc>
      </w:tr>
      <w:tr>
        <w:tc>
          <w:tcPr>
            <w:tcW w:type="dxa" w:w="831"/>
            <w:vMerge/>
          </w:tcPr>
          <w:p/>
        </w:tc>
        <w:tc>
          <w:tcPr>
            <w:tcW w:type="dxa" w:w="1661"/>
          </w:tcPr>
          <w:p>
            <w:pPr>
              <w:pStyle w:val="null3"/>
            </w:pPr>
            <w:r>
              <w:rPr>
                <w:rFonts w:ascii="仿宋_GB2312" w:hAnsi="仿宋_GB2312" w:cs="仿宋_GB2312" w:eastAsia="仿宋_GB2312"/>
              </w:rPr>
              <w:t>总体工作思路</w:t>
            </w:r>
          </w:p>
        </w:tc>
        <w:tc>
          <w:tcPr>
            <w:tcW w:type="dxa" w:w="2492"/>
          </w:tcPr>
          <w:p>
            <w:pPr>
              <w:pStyle w:val="null3"/>
            </w:pPr>
            <w:r>
              <w:rPr>
                <w:rFonts w:ascii="仿宋_GB2312" w:hAnsi="仿宋_GB2312" w:cs="仿宋_GB2312" w:eastAsia="仿宋_GB2312"/>
              </w:rPr>
              <w:t>针对本项目编制，工作思路清晰，目标明确，内容详实，措施具体，能较好的实现本项目的要求得3分，每有一处缺陷扣1分，扣完为止。注：缺陷表述同上。</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总体工作思路.docx</w:t>
            </w:r>
          </w:p>
        </w:tc>
      </w:tr>
      <w:tr>
        <w:tc>
          <w:tcPr>
            <w:tcW w:type="dxa" w:w="831"/>
            <w:vMerge/>
          </w:tcPr>
          <w:p/>
        </w:tc>
        <w:tc>
          <w:tcPr>
            <w:tcW w:type="dxa" w:w="1661"/>
          </w:tcPr>
          <w:p>
            <w:pPr>
              <w:pStyle w:val="null3"/>
            </w:pPr>
            <w:r>
              <w:rPr>
                <w:rFonts w:ascii="仿宋_GB2312" w:hAnsi="仿宋_GB2312" w:cs="仿宋_GB2312" w:eastAsia="仿宋_GB2312"/>
              </w:rPr>
              <w:t>陕西省重要生态空间动态遥感监测实施方案</w:t>
            </w:r>
          </w:p>
        </w:tc>
        <w:tc>
          <w:tcPr>
            <w:tcW w:type="dxa" w:w="2492"/>
          </w:tcPr>
          <w:p>
            <w:pPr>
              <w:pStyle w:val="null3"/>
            </w:pPr>
            <w:r>
              <w:rPr>
                <w:rFonts w:ascii="仿宋_GB2312" w:hAnsi="仿宋_GB2312" w:cs="仿宋_GB2312" w:eastAsia="仿宋_GB2312"/>
              </w:rPr>
              <w:t>投标人应根据采购需求和自身经验提供陕西省重要生态空间动态遥感监测实施方案，内容包括但不限于①国产高分卫星影像数据标准化处理②保护地与红线生态问题线索筛选③秦岭地区生态问题线索筛选④问题线索清单生产与报告编制⑤成果要求与质控等。实施链条完整，内容详细，标准明确，措施具体，成果文件清晰，能较好的实现项目目标，得25分，每缺少一项扣5分，每项中每有一处缺陷扣1分，扣完为止。注：缺陷表述同上。</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陕西省重要生态空间动态遥感监测实施方案.docx</w:t>
            </w:r>
          </w:p>
        </w:tc>
      </w:tr>
      <w:tr>
        <w:tc>
          <w:tcPr>
            <w:tcW w:type="dxa" w:w="831"/>
            <w:vMerge/>
          </w:tcPr>
          <w:p/>
        </w:tc>
        <w:tc>
          <w:tcPr>
            <w:tcW w:type="dxa" w:w="1661"/>
          </w:tcPr>
          <w:p>
            <w:pPr>
              <w:pStyle w:val="null3"/>
            </w:pPr>
            <w:r>
              <w:rPr>
                <w:rFonts w:ascii="仿宋_GB2312" w:hAnsi="仿宋_GB2312" w:cs="仿宋_GB2312" w:eastAsia="仿宋_GB2312"/>
              </w:rPr>
              <w:t>陕西省流域干流及重要支流排污口遥感排查实施方案</w:t>
            </w:r>
          </w:p>
        </w:tc>
        <w:tc>
          <w:tcPr>
            <w:tcW w:type="dxa" w:w="2492"/>
          </w:tcPr>
          <w:p>
            <w:pPr>
              <w:pStyle w:val="null3"/>
            </w:pPr>
            <w:r>
              <w:rPr>
                <w:rFonts w:ascii="仿宋_GB2312" w:hAnsi="仿宋_GB2312" w:cs="仿宋_GB2312" w:eastAsia="仿宋_GB2312"/>
              </w:rPr>
              <w:t>投标人应根据采购需求和自身经验提供陕西省流域干流及重要支流排污口遥感排查实施方案，内容包括但不限于①陕西省流域干流及重要支流排污口卫星遥感排查②排污口检查问题整治情况卫星遥感追踪③成果要求与质控等。实施链条完整，内容详细，标准明确，措施具体，成果文件清晰，能较好的实现项目目标，得15分，每缺少一项扣5分，每项中每有一处缺陷扣1分，扣完为止。注：缺陷表述同上。</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陕西省流域干流及重要支流排污口遥感排查实施方案.docx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应根据采购需求和自身经验提供保障措施，内容包括但不限于①进度计划②交付保障③质量保障等。进度计划清晰，各节点工作内容和时间节点明确，保障措施具体，能较好实现项目目标，得6分，每缺少一项扣2分，每项中每有一项缺陷扣0.5分，扣完为止。注：缺陷表述同上。</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1.项目负责人：具备生态、遥感、地理信息系统等相关专业正高级职称得2分，具有副高级职称得1分。 2.技术负责人： （1）具备遥感、地理信息系统类相关专业正高级职称得2分，具有副高级职称得1分。 （2）具备生态环境类相关专业正高级职称得2分，具有副高级职称得1分。 注：技术负责人可设定2人。 3.项目团队（除项目负责人、技术负责人外）：≥8人，具有生态、遥感、地理信息系统等相关领域高级职称人员每人1分，最高8分。 4.项目团队专业配置合理，人员投入具体，责任分工明确，能够较好的完成本项目，得2分，每有一处缺陷扣0.5分，扣完为止。 注：①总人数不足10人的本大项（16分）不分。②需要提供人员身份证、职称证复印件以及投标截止时间前三个月内本单位为其缴纳社保的证明。退休人员不计。</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人员配置齐全、分工明确，响应时限具体，服务方式和措施具体，方案完整、内容详细，得3分，每有一处缺陷扣1分，扣完为止。注：缺陷表述同上。</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针对本项目的保密制度完善，内容详细，措施具体，得2分，每有一处缺陷扣0.5分，扣完为止。注：缺陷表述同上。</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保密制度.docx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1、供应商（或团队成员个人）2022年1月1日（含）至今获得过生态环境类奖项的，每提供一项省部级及以上奖项的得2分，每提供一项地市级奖项得1分，本项最多得4分。 2、供应商提供相关部门颁发的测绘乙级（含乙级）及以上资质，提供得2分，不提供得0分。 注：需提供获奖证书复印件或相关证明材料，未提供不得分。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供应商每提供1份2022年1月1日至今类似项目（生态环境遥感监测、监管、评价评估）业绩得1.5分，最多得12分。 注：①业绩以合同为准，时间以合同签订时间为准。②需要提供合同扫描件（至少包括合同首页、主要内容页、签字页）。未提供合同内容不能显示工作内容的，其业绩不予认定。</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最低的投标报价为评标基准价，其价格分为满分。其他投标人的价格分统一按照下列公式计算：价格分=(评标基准价／投标报价)×10分。注：计算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详见附件：保密制度.docx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详见附件：对项目重难点的分析.docx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详见附件：陕西省流域干流及重要支流排污口遥感排查实施方案.docx</w:t>
      </w:r>
    </w:p>
    <w:p>
      <w:pPr>
        <w:pStyle w:val="null3"/>
        <w:ind w:firstLine="960"/>
      </w:pPr>
      <w:r>
        <w:rPr>
          <w:rFonts w:ascii="仿宋_GB2312" w:hAnsi="仿宋_GB2312" w:cs="仿宋_GB2312" w:eastAsia="仿宋_GB2312"/>
        </w:rPr>
        <w:t>详见附件：陕西省重要生态空间动态遥感监测实施方案.docx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详见附件：总体工作思路.docx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