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版本号：ZMZB2025XKD-29420251022003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电气火灾早期征兆监测预警装置采购项目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ZMZB2025XKD-294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电气火灾早期征兆监测预警装置采购项目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ZMZB2025XKD-294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电气火灾早期征兆监测预警装置采购项目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电气火灾早期征兆监测预警装置采购项目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采购包1（电气火灾早期征兆监测预警装置采购项目）：属于专门面向中小企业采购。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代理服务费收费标准：50万元（含）以上的项目中标服务费参照国家发展和改革委员会《招标代理服务收费暂行办法》（计价格[2002]1980号）文件规定标准的0.775折计取。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电气火灾早期征兆监测预警装置采购项目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9,000,000.00</w:t>
      </w:r>
    </w:p>
    <w:p>
      <w:pPr>
        <w:pStyle w:val="null3"/>
      </w:pPr>
      <w:r>
        <w:rPr>
          <w:rFonts w:ascii="仿宋_GB2312" w:hAnsi="仿宋_GB2312" w:cs="仿宋_GB2312" w:eastAsia="仿宋_GB2312"/>
        </w:rPr>
        <w:t>采购包最高限价（元）: 8,320,000.00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电气火灾早期征兆监测预警装置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标的名称：电气火灾早期征兆监测预警装置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1.光伏/直流故障组件开路、超温、发光连接、漏电/接地故障、线路老化、接触不良、故障电弧等致灾实验测试装置：</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1）光伏模拟源：模拟源500V/30A共三组，具备并联和串联的功能，模拟实现光伏并网环境，电压范围0~1500V，精度：±1%；电流范围0~30A，精度：±1%。</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2）光伏逆变器：光伏逆变输入电压范围200~1000V DC，精度：±1%；输出电压400V/380V AC，精度：±1%；输出功率≥150kW。</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分布式光纤测温主机：测温距离：≥5km；测温范围：-20～150℃（根据光缆而定）；温度分辨率：≤0.1℃；测温采集时间：≤5s；定位精度：±1m；通道数目：≥4；系统平台：linux嵌入式操作系统；外部接口：以太网/多模双纤；显示方式：7寸防爆触摸屏；系统工作温度：0～+40℃；输入电源：DC 12V；功耗：＜10W；配套测试软件。</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4）烟感烟箱：发烟源：棉绳阴燃，可选配气溶胶发生器；燃料：洁净、干燥的棉绳（质量约为5g）；测试系统满足方位、电压波动、气流、环境光线、模拟电缆负载试验要求；软件具备自动数据采集、记录、测试报告生成功能，并能够与被测传感器实现通讯；可测试≥1个传感器；升烟速率：0~0.2% obs/m/min可调；测量区风速：0~1m/s可调；生烟范围：0~10% obs/m可调，试验烟在粒径分布、粒径大小、粒径结构、光学特性等方面具有再现性和稳定性；发烟箱为棉线燃烧生烟方式，并可自动点燃、自动阴燃；配备自动升降装置，可按标准要求把样品浸入到恒定烟雾中；光学密度计：光波长范围800nm-950nm，分辨率：≤0.01%；配备闪光装置，满足环境光线测试要求；测量量程：0.01~10% obs/m，精度：±1% obs/m；荧光灯功率：30W*4支，荧光灯色温：3200~4200K；软件具备自动数据采集、记录，实时界面显示曲线，通过EXCEL 导出数据；烟箱软件的操作系统选用≥Windows10 ，通过互联网远程协助；气溶胶发生器颗粒类型：液体石蜡；粒径范围：0.5~1μm；内置气泵；。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5）信号源：≥4 通道；采样率：≥2.5GSa/s；垂直分辨率：主通道≥14bit，辅通道≥16bit；最大任意波长度：64Mpts；硬件频率计：测量范围为100mHz~800MHz，支持直流/交流耦合，精度≥8位；正弦波频率范围：1μHz~350MHz；方波/脉冲波频率范围：1μHz~120MHz；斜波频率范围：1μHz~20MHz；任意波频率范围：1μHz~80MHz；谐波频率范围：1μHz-175MHz。</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6）功率分析仪：测量范围：600Vrms/50Arms；电压量程：15V~600V，≥6个档位；直接输入电流量程：1A~50A，≥6个档位；外部电流输入：EX1: 5V/10V，≥2个档位，EX2: 100mV~2.5V，≥6个档位；精度：±0.1%；频宽：DC，0.5Hz~100KHz；通信接口：USB外围设备接口RS232以太网；同时测量电压、电流、功率、频率和谐波等参数，实现单次谐波分析； 测量谐波次数：≥50次； 具有示波、电流积分、有功功率积分、自动量程、测量同步源等功能；显示屏：≥4.3英寸彩色液晶；可自由设定屏幕显示矩阵列数及常用量测参数值显示。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7）多路温度测试仪：热电偶类型：T、K、J、N、E、S、R、B；通道数：≥24；显示位数：≥6位；显示：≥4.3英寸LCD；测试速度：≤1s；测量范围： -200.0~1800.0℃；分辨率：≤0.01℃；精度：±0.7℃；校正：每通道误差修正；分选：内建分选数据内建分选数据每通道可单独设置上下限；冷端补偿准确度：±0.5℃；数据记录：支持USB、U盘存储(FAT格式)；讯响：超上下限讯响功能；显示类型：数值、曲线图、柱形图；接口：RS232/RS485/LAN/ USB Host；通信协议：兼容SCPI、Modbus RTU等协议；电源电压：100~280V AC；频率：50Hz/60Hz。</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8）激光光谱气体分析仪：可同时连续监测O2、CO、CO2、CH4、C2H6、C2H4、C2H2等指标气体，其中CO、CH4、C2H6、C2H4、C2H2气体采用中红外激光器；监测路数≥16路；测量范围及精度：O2：0~25%，±0.5% F.S；CO：0~10000ppm，其中0~100ppm范围误差为±4ppm, 其中100~10000ppm范围误差为±6%F.S；CO2：0~30%，±2%F.S；CH4：0~1.00）%，±0.05%，（1.00~100.00）%，±真值的 5%；C2H6：0~1000ppm，±5ppm；C2H4：0~1000ppm，±5ppm；C2H2：0~1000ppm，±2ppm；温度，0-60℃，±1℃；RS485总线通信距离≥2km；无线mesh网络点对点通信距离≥200m。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）直流低压源：电压</w:t>
            </w:r>
            <w:r>
              <w:rPr>
                <w:rFonts w:ascii="仿宋_GB2312" w:hAnsi="仿宋_GB2312" w:cs="仿宋_GB2312" w:eastAsia="仿宋_GB2312"/>
                <w:sz w:val="24"/>
                <w:color w:val="000000"/>
              </w:rPr>
              <w:t>0~10V，电流：0~200A；输入电压：220V±10%，频率：50Hz±5%；输出功率：≥2kW，电压：0~100%可调，电流：0~100%可调，纹波≤0.5%FS±10mVrms；电源调整率：≤0.5%±30mV，负载调整率：≤±0.5%。</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）氙灯耐侯老化试验箱：试验箱空间：</w:t>
            </w:r>
            <w:r>
              <w:rPr>
                <w:rFonts w:ascii="仿宋_GB2312" w:hAnsi="仿宋_GB2312" w:cs="仿宋_GB2312" w:eastAsia="仿宋_GB2312"/>
                <w:sz w:val="24"/>
                <w:color w:val="000000"/>
              </w:rPr>
              <w:t>≥500×500×600mm；温度范围：10～80℃；湿度范围：30%～98%R.H；黑板温度：30℃~100℃（偏差±3℃）；温度波动度：≤±0.5℃；温度均匀度：≤±2.0℃；湿度波动度：±3% R.H；玻璃窗滤光器：硼硅玻璃；氙灯光源：高性能风冷式氙弧光源；氙灯功率：3kW；降雨时间：1～9999min，连续降雨可调；降雨周期：1～240分钟，间隔（断）降雨可调；喷水嘴孔径：≥Ф0.8mm（回水带超精细过滤器防止喷嘴堵塞）；淋雨水压： 0.12～0.15kPa；喷水周期（喷水时间/不喷水时间）：18min/102min或12min/48min(喷水时间/不喷水时间)；喷水压力：0.12～0.15MPa；加热功率：2.5kW；加湿功率：2kW；光照周期连续可调时间0～999小时；光谱波长：280nm～800nm，辐照度范围：0～1200W/㎡可调；载物台转动速度可调（无极调速）。</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）数字万用表：精度：六位半，误差</w:t>
            </w:r>
            <w:r>
              <w:rPr>
                <w:rFonts w:ascii="仿宋_GB2312" w:hAnsi="仿宋_GB2312" w:cs="仿宋_GB2312" w:eastAsia="仿宋_GB2312"/>
                <w:sz w:val="24"/>
                <w:color w:val="000000"/>
              </w:rPr>
              <w:t>±30ppm；读数速率：≥5000个读数/秒；存储器：≥50000个读数/秒；DCV，ACV：100mV~1000V；DCI：1μA~10A；ACI：100μA~10A；2线和4线电阻：100Ω~1000MΩ；二极管导通电压：5V；频率：3Hz~300kHz；温度传感器类型：RTD/PT100、热敏电阻、热电偶；电容：1.0nF~100.0μF；双行显示；显示屏：彩色；统计图形：支持直方图、条形图、趋势图。</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）工作站：</w:t>
            </w:r>
            <w:r>
              <w:rPr>
                <w:rFonts w:ascii="仿宋_GB2312" w:hAnsi="仿宋_GB2312" w:cs="仿宋_GB2312" w:eastAsia="仿宋_GB2312"/>
                <w:sz w:val="24"/>
                <w:color w:val="000000"/>
              </w:rPr>
              <w:t>CPU核心：≥16线程，基准频率：≥4.3GHz，加速频率≥5.7GHz；主板内存≥192 GB；网卡芯片：≥2.5GbE；内存频率：≥6000MHz，容量：≥24GB*2；固态硬盘：≥2TB；显卡显存位宽：≥256bit，显存容量：≥16GB；液晶显示器：≥27英寸；配套无线键盘鼠标。</w:t>
            </w:r>
          </w:p>
          <w:p>
            <w:pPr>
              <w:pStyle w:val="null3"/>
              <w:ind w:firstLine="480"/>
              <w:jc w:val="both"/>
            </w:pPr>
            <w:r>
              <w:rPr>
                <w:rFonts w:ascii="仿宋_GB2312" w:hAnsi="仿宋_GB2312" w:cs="仿宋_GB2312" w:eastAsia="仿宋_GB2312"/>
                <w:sz w:val="24"/>
                <w:color w:val="000000"/>
              </w:rPr>
              <w:t>2.电气故障场景模拟装置，模拟不同环境条件下电气线路的超温、发光连接、过载、短路、漏电、故障电弧等常见电气火灾早期征兆及其故障转化过程。</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环境模拟装置：容积：≥216L，温度范围：-20~+150℃；温度波动度：≤±0.5℃；温度均匀度：≤2.0℃（常压、空载时）；温度偏差：≤±2℃（常压、空载时）；升温速率：≥4℃/min；降温速率：≥2℃/min。湿度范围：20%~98%R.h；湿度均匀度：≤3.0%R.h；湿度波动度：≤±2.0%R.h；湿度偏差：±3.0%R.h（&gt;75%R.h），±5.0%RH（≤75%R.h）。压力范围：常压～40kPa；测试湿度范围：30%~95%RH（满足常压~50kPa条件）；降压时间：≤40min，压力偏差≤±1.8kPa；压力恢复速率：≤10kPa/min；内箱承压方式：内承压；内壁材料：304不锈钢厚度≥5mm。</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2）同步热分析装置：温度范围：室温~1000℃；升温速率：0.1~100℃/min；降温速率：0.1~40℃/min；温度灵敏度：≤0.1℃；差热量程 ±10～±1000μV；差热灵敏度: ≤0.01μV；差热准确度：±0.01μV；软件模拟DSC：±1～±100mW；DSC灵敏度：≤0.01μW；热重量程：1~200mg，更换支撑杆≥5g；热重灵敏度：≤0.01μg；热重准确度：±0.1μg；热重噪声：≤0.1μg；热重微分量程：1~100mg/min；自动调零范围：0～999mg；真空度：≤2.66×10</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Pa；气氛控制：双路稳压稳流控制（满足HCl和SO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等耐腐蚀性气氛）；陶瓷坩埚</w:t>
            </w:r>
            <w:r>
              <w:rPr>
                <w:rFonts w:ascii="仿宋_GB2312" w:hAnsi="仿宋_GB2312" w:cs="仿宋_GB2312" w:eastAsia="仿宋_GB2312"/>
                <w:sz w:val="24"/>
                <w:color w:val="000000"/>
              </w:rPr>
              <w:t>≥10个（直径约φ5mm，高度约4mm）；预留恒温水浴和恒温控制器接口；配套主机（尺寸：14或15.4英寸，处理器≥Ultra9；内存：≥32G，固态硬盘：≥2TB，独显：≥RTX4050，配套无线键盘鼠标）。</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材料加热及引燃可燃物实验测试装置：尺寸：≥1.6m×0.8m×1.4m；温度范围：0~1200℃，温度调节分辨率：±1℃；配套高精度机械臂，移动精度：≤1mm；陶瓷架为快速可调移动模块，最大速度：≥10cm/s；高温氧化锆精密工业陶瓷坩埚：≥1200℃；风速：0~5m/s，精度：±0.1m/s；可燃物升降支架：步进电机控制：1~15cm，精度：±1mm；K型热电偶测熔珠温度测量范围：0~1200℃，精度：±1℃。</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振动试验台（含控制主机）：频率范围：1~5kHz（调频、扫频、可程式、倍频、对数等功能）；运动方向：三轴（六度空间）；负载能力：≥100kg；加速度：≥20g；频率分辨率：≤0.01；振动波形：正弦波、全波或半波；可调整加速度及显示功能；具有多段频率设定功能；振幅范围：0~10mm任意可调（p~p）；时间显示：以秒为单位，任意时间可设；控制主机（尺寸：14或15.4英寸，处理器≥Ultra9；内存：≥32G，固态硬盘：≥2TB，独显：≥RTX4050，配套无线键盘鼠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5）实验工装3D打印装置：机器尺寸：≤1318*1200*1680mm；打印尺寸：≥800*800*800mm；技术原理：FDM或光固化；打印模型精度：±0.1mm；打印速度：50-500mm/s；定位精度：xy轴 0.011mm，z轴 0.0025mm；喷头电机：≥36饼型微电机；识别文件：STL, OBJ, GCODE；喷头数量：≥1个，温度≥300℃；喷嘴直径：支持0.4/0.6/0.8/1.0/1.2/1.5mm；打印平台：220V不锈钢热板云母加热升降平台，打印平台温度：≦120℃，带自动调平；显示界面：≥10寸中英文智能彩色触摸屏；打印方式：SD卡/U 盘脱机打印/支持 USB联机打印；打印耗材：直径 1.75mm，PLA，ABS，PETG，ASA，PC+ABS，TPU，尼龙、碳纤维等改良料；支持 WIFI打印；智能化断料检测，能够在材料耗尽时自动停止当前打印任务，降低打印失败率；具有WIFI 模块，实现远程连接，无线连接，云端切片、在线建模等功能，可以轻松完成打印机传输启动，取消，暂停打印等指令。控制主机（尺寸：14或15.4英寸，处理器≥Ultra9；内存：≥32G，固态硬盘：≥2TB，独显：≥RTX4050，配套无线键盘鼠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6）工作站：CPU核心：≥16线程，基准频率：≥4.3GHz，加速频率≥5.7GHz；主板内存≥192 GB；网卡芯片：≥2.5GbE；内存频率：≥6000MHz，容量：≥24GB*2；固态硬盘：≥2TB；显卡显存位宽：≥256bit，显存容量：≥16GB；液晶显示器：≥27英寸；配套无线键盘鼠标。</w:t>
            </w:r>
          </w:p>
          <w:p>
            <w:pPr>
              <w:pStyle w:val="null3"/>
              <w:ind w:firstLine="480"/>
              <w:jc w:val="both"/>
            </w:pPr>
            <w:r>
              <w:rPr>
                <w:rFonts w:ascii="仿宋_GB2312" w:hAnsi="仿宋_GB2312" w:cs="仿宋_GB2312" w:eastAsia="仿宋_GB2312"/>
                <w:sz w:val="24"/>
                <w:color w:val="000000"/>
              </w:rPr>
              <w:t>3. 直流短路故障征兆监测预警装置（含超级电容电源装置、阻抗负载装置、回路切换控制装置、IGBT精准控制装置、安全保护及端口模块、测控装置等），能够模拟直流光伏系统中常见的各种电气元件短路故障演化过程。</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超级电容电源装置：电压范围：48~1.5kV，无极可调（预留电压后续升至2000V），1.5kV/15kA（预留20kA）时持续时间：≥100ms，压降：±5%，并配置≥1500V/100A充电机，搭载CMS安全检测系统，保证每个单体实时安全检测；</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阻抗负载装置：电压范围：48~1500V，后级阻抗，试验电流范围：6~630A；时间常数：1~5ms，通电时间1s，断电时间9s，≥1工位；前级阻抗，500A~20kA；时间常数：1~5ms；通电时间：≤100ms，试验周期：≤3min，压降：±5%；</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3）回路切换控制装置：根据测试需求对电源进线500V一组分档控制，自动切换，保证试验最大能力；</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4）IGBT精准控制装置：试验电压：48~1500V，试验电流：≥20kA，通电时间：≥100ms；时间控制精度：±1ms；</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5）安全保护及端口模块：配置隔离开关1500V/1000A，安全保护开关，保证检修和不做实验的时候有绝对断点，端口模块配置防爆箱；</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测控装置：工控机CPU主频：≥4G，内存≥32GB，硬盘：≥4T固态；显卡显存：≥12GB；液晶显示器：≥27英寸；采样率：≥80MS/s，波形实时采集，自动数据分析、自动报表生成等功能；系统电压精度：±1.5%，电流精度：±1.5%，波纹：±1%。</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7）工作站：CPU核心：≥16线程，基准频率：≥4.3GHz，加速频率≥5.7GHz；主板内存≥192 GB；网卡芯片：≥2.5GbE；内存频率：≥6000MHz，容量：≥24GB*2；固态硬盘：≥2TB；显卡显存位宽：≥256bit，显存容量：≥16GB；液晶显示器：≥27英寸；配套无线键盘鼠标。</w:t>
            </w:r>
          </w:p>
          <w:p>
            <w:pPr>
              <w:pStyle w:val="null3"/>
              <w:ind w:firstLine="480"/>
              <w:jc w:val="both"/>
            </w:pPr>
            <w:r>
              <w:rPr>
                <w:rFonts w:ascii="仿宋_GB2312" w:hAnsi="仿宋_GB2312" w:cs="仿宋_GB2312" w:eastAsia="仿宋_GB2312"/>
                <w:sz w:val="24"/>
                <w:color w:val="000000"/>
              </w:rPr>
              <w:t>4.电气火灾交/直流故障电弧特性参数监测分析实验装置，监测加载谐波电源、多样负载切换、高低温、低气压等不同条件下的故障电弧特性；通过分光色差仪、吸入式热解粒子探测器、烟气分析仪、光谱仪、绝缘电阻测试仪等仪器实时检测采集放电能量、放电电压、放电电流、电弧等效电阻等参数，并自动分析电压、电流、时域、频域、波形等特征参数数据。</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1）交直流漏电测试系统：AC/DC缓加漏电通电时间：≥10s，突加电流通电时间：30ms~150ms（可自定义设置）；爬升电流范围：AC：0~1000mA；A型：0°：0~3500mA，90°：0~2500mA，135 °：0~1100mA；DC：0~1000mA，连续可调，测量精度：±1mA，速率：0.1mA/s~100mA/s，根据选择电流自动调节爬升速率（默认30s升至目标电流），上升速率可调节，满足30s内爬升至额定剩余电流；标准规定的A型/AC型/B型/DC剩余电流波形；触发角度0°~90°~135°，正极性/负极性触发；配套主机尺寸：14或15.4英寸，处理器≥Ultra9；内存：≥32G，固态硬盘：≥2TB，独显：≥RTX4050，配套无线键盘鼠标。</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2）弧声采集装置：测量频率范围为：5Hz~75kHz，声音测量范围：0~174dB，测量精度：±3dB，同时测量可听声和超声波；供电电流：2~20 mA；输出阻抗：≤110Ω；搭配高精度信号调理器，增强处理采集声音后直接输入采集设备，信号调理器具备单通道BNC输出接口、放大倍数分为10倍和100倍，声音频率响应范围：5Hz～75kHz，采集弧声测量精度：±0.5dB。</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3）磁场辐射采集装置：环形天线环尺寸：≥60cm；频率范围：9kHz~30MHz；输出接口：50Ω；驻波比：≤2.0；天线因子：≥20dB，测量精度：±1.5dB；测量场强：≥10dB(dBuV/m)；供电范围：±12V DC，输出电流：≥200mA。</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4）消防电弧试验屏蔽干扰负载（符合 GB/T 14287.4）：采集电压、电流、环境、光谱仪、弧声、磁场等信号，并同步采集故障电弧“电-热-气-光-声-磁”等多种特征参数，准确率：≥95%，同步时间精度：≤5ms。</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测控装置：工控机CPU性能：≥788G2，内存：≥32G，固态硬盘：≥2TB，液晶显示器：≥27英寸；配置PCI-6346采集板块，PLC控制和采集，满足电弧采集模块的制样装置，具有安全隔离功能，试验刀片：≥50把，碳棒：≥50个，铜棒：≥5个，直流电弧发生器采用钨钢材质。</w:t>
            </w:r>
          </w:p>
          <w:p>
            <w:pPr>
              <w:pStyle w:val="null3"/>
              <w:ind w:firstLine="480"/>
              <w:jc w:val="both"/>
            </w:pPr>
            <w:r>
              <w:rPr>
                <w:rFonts w:ascii="仿宋_GB2312" w:hAnsi="仿宋_GB2312" w:cs="仿宋_GB2312" w:eastAsia="仿宋_GB2312"/>
                <w:sz w:val="24"/>
                <w:color w:val="000000"/>
              </w:rPr>
              <w:t>5.电气火灾全过程模拟实验控制分析系统。</w:t>
            </w:r>
          </w:p>
          <w:p>
            <w:pPr>
              <w:pStyle w:val="null3"/>
              <w:ind w:firstLine="480"/>
              <w:jc w:val="both"/>
            </w:pPr>
            <w:r>
              <w:rPr>
                <w:rFonts w:ascii="仿宋_GB2312" w:hAnsi="仿宋_GB2312" w:cs="仿宋_GB2312" w:eastAsia="仿宋_GB2312"/>
                <w:sz w:val="24"/>
                <w:color w:val="000000"/>
              </w:rPr>
              <w:t>电气火灾全过程模拟实验控制分析系统的软件架构设计需围绕实验控制实时性、数据采集高密度、模拟计算高精度、分析可视化强交互四大核心需求，结合微服务架构的灵活性、多数据库的适配性及</w:t>
            </w:r>
            <w:r>
              <w:rPr>
                <w:rFonts w:ascii="仿宋_GB2312" w:hAnsi="仿宋_GB2312" w:cs="仿宋_GB2312" w:eastAsia="仿宋_GB2312"/>
                <w:sz w:val="24"/>
                <w:color w:val="000000"/>
              </w:rPr>
              <w:t>Python生态的易用性，实现 “控制-采集-模拟-分析-展示”全流程闭环。该系统架构需以 “微服务解耦 + 多数据库协同 + Python 生态赋能” 为核心，既满足电气火灾实验的实时控制、高密度采集需求，又通过模块化设计支持功能扩展（如AI火灾预测模型），同时确保数据可靠存储与高效分析，最终实现实验全流程的数字化、智能化管理。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1）整体架构设计原则</w:t>
            </w:r>
          </w:p>
          <w:p>
            <w:pPr>
              <w:pStyle w:val="null3"/>
              <w:ind w:firstLine="480"/>
              <w:jc w:val="both"/>
            </w:pPr>
            <w:r>
              <w:rPr>
                <w:rFonts w:ascii="仿宋_GB2312" w:hAnsi="仿宋_GB2312" w:cs="仿宋_GB2312" w:eastAsia="仿宋_GB2312"/>
                <w:sz w:val="24"/>
                <w:color w:val="000000"/>
              </w:rPr>
              <w:t>1）模块化与松耦合：按功能拆分独立服务，服务间通过标准化接口通信，支持单独部署、升级和扩展（如新增传感器类型时仅需扩展数据采集服务）。</w:t>
            </w:r>
          </w:p>
          <w:p>
            <w:pPr>
              <w:pStyle w:val="null3"/>
              <w:ind w:firstLine="480"/>
              <w:jc w:val="both"/>
            </w:pPr>
            <w:r>
              <w:rPr>
                <w:rFonts w:ascii="仿宋_GB2312" w:hAnsi="仿宋_GB2312" w:cs="仿宋_GB2312" w:eastAsia="仿宋_GB2312"/>
                <w:sz w:val="24"/>
                <w:color w:val="000000"/>
              </w:rPr>
              <w:t>2）实时性优先：实验控制、数据采集环节延迟需≤100ms，采用低延迟通信协议和轻量化处理逻辑。</w:t>
            </w:r>
          </w:p>
          <w:p>
            <w:pPr>
              <w:pStyle w:val="null3"/>
              <w:ind w:firstLine="480"/>
              <w:jc w:val="both"/>
            </w:pPr>
            <w:r>
              <w:rPr>
                <w:rFonts w:ascii="仿宋_GB2312" w:hAnsi="仿宋_GB2312" w:cs="仿宋_GB2312" w:eastAsia="仿宋_GB2312"/>
                <w:sz w:val="24"/>
                <w:color w:val="000000"/>
              </w:rPr>
              <w:t>3）多源数据兼容：支持电压、电流、时频域、波形、温度、气体浓度、烟雾浓度、热解离子等多类型传感器数据，及设备控制指令、模拟模型参数等异构数据的统一处理。</w:t>
            </w:r>
          </w:p>
          <w:p>
            <w:pPr>
              <w:pStyle w:val="null3"/>
              <w:ind w:firstLine="480"/>
              <w:jc w:val="both"/>
            </w:pPr>
            <w:r>
              <w:rPr>
                <w:rFonts w:ascii="仿宋_GB2312" w:hAnsi="仿宋_GB2312" w:cs="仿宋_GB2312" w:eastAsia="仿宋_GB2312"/>
                <w:sz w:val="24"/>
                <w:color w:val="000000"/>
              </w:rPr>
              <w:t>4）高可靠性：关键服务（如控制、采集）需支持主从备份，数据存储需具备冗余和灾备能力。</w:t>
            </w:r>
          </w:p>
          <w:p>
            <w:pPr>
              <w:pStyle w:val="null3"/>
              <w:ind w:firstLine="480"/>
              <w:jc w:val="both"/>
            </w:pPr>
            <w:r>
              <w:rPr>
                <w:rFonts w:ascii="仿宋_GB2312" w:hAnsi="仿宋_GB2312" w:cs="仿宋_GB2312" w:eastAsia="仿宋_GB2312"/>
                <w:sz w:val="24"/>
                <w:color w:val="000000"/>
              </w:rPr>
              <w:t>5）Python 生态适配：核心服务（如数据分析、模拟计算）优先采用 Python 开发，兼容其科学计算库（Pandas、SciPy 等），同时支持与 C/C++ 模块混合编程（用于高性能场景）。</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2）微服务架构设计</w:t>
            </w:r>
          </w:p>
          <w:p>
            <w:pPr>
              <w:pStyle w:val="null3"/>
              <w:ind w:firstLine="480"/>
              <w:jc w:val="both"/>
            </w:pPr>
            <w:r>
              <w:rPr>
                <w:rFonts w:ascii="仿宋_GB2312" w:hAnsi="仿宋_GB2312" w:cs="仿宋_GB2312" w:eastAsia="仿宋_GB2312"/>
                <w:sz w:val="24"/>
                <w:color w:val="000000"/>
              </w:rPr>
              <w:t>基于功能边界拆分微服务，通过</w:t>
            </w:r>
            <w:r>
              <w:rPr>
                <w:rFonts w:ascii="仿宋_GB2312" w:hAnsi="仿宋_GB2312" w:cs="仿宋_GB2312" w:eastAsia="仿宋_GB2312"/>
                <w:sz w:val="24"/>
                <w:color w:val="000000"/>
              </w:rPr>
              <w:t>API 网关实现统一入口，通过消息队列实现异步通信，核心服务包括：</w:t>
            </w:r>
          </w:p>
          <w:p>
            <w:pPr>
              <w:pStyle w:val="null3"/>
              <w:ind w:firstLine="480"/>
              <w:jc w:val="both"/>
            </w:pPr>
            <w:r>
              <w:rPr>
                <w:rFonts w:ascii="仿宋_GB2312" w:hAnsi="仿宋_GB2312" w:cs="仿宋_GB2312" w:eastAsia="仿宋_GB2312"/>
                <w:sz w:val="24"/>
                <w:color w:val="000000"/>
              </w:rPr>
              <w:t>1）前端交互层</w:t>
            </w:r>
          </w:p>
          <w:p>
            <w:pPr>
              <w:pStyle w:val="null3"/>
              <w:ind w:firstLine="480"/>
              <w:jc w:val="both"/>
            </w:pPr>
            <w:r>
              <w:rPr>
                <w:rFonts w:ascii="仿宋_GB2312" w:hAnsi="仿宋_GB2312" w:cs="仿宋_GB2312" w:eastAsia="仿宋_GB2312"/>
                <w:sz w:val="24"/>
                <w:color w:val="000000"/>
              </w:rPr>
              <w:t>实验方案配置、实时数据监控、模拟过程可视化、分析报告展示。</w:t>
            </w:r>
          </w:p>
          <w:p>
            <w:pPr>
              <w:pStyle w:val="null3"/>
              <w:ind w:firstLine="480"/>
              <w:jc w:val="both"/>
            </w:pPr>
            <w:r>
              <w:rPr>
                <w:rFonts w:ascii="仿宋_GB2312" w:hAnsi="仿宋_GB2312" w:cs="仿宋_GB2312" w:eastAsia="仿宋_GB2312"/>
                <w:sz w:val="24"/>
                <w:color w:val="000000"/>
              </w:rPr>
              <w:t>2）API 网关层</w:t>
            </w:r>
          </w:p>
          <w:p>
            <w:pPr>
              <w:pStyle w:val="null3"/>
              <w:ind w:firstLine="480"/>
              <w:jc w:val="both"/>
            </w:pPr>
            <w:r>
              <w:rPr>
                <w:rFonts w:ascii="仿宋_GB2312" w:hAnsi="仿宋_GB2312" w:cs="仿宋_GB2312" w:eastAsia="仿宋_GB2312"/>
                <w:sz w:val="24"/>
                <w:color w:val="000000"/>
              </w:rPr>
              <w:t>请求路由、认证授权（</w:t>
            </w:r>
            <w:r>
              <w:rPr>
                <w:rFonts w:ascii="仿宋_GB2312" w:hAnsi="仿宋_GB2312" w:cs="仿宋_GB2312" w:eastAsia="仿宋_GB2312"/>
                <w:sz w:val="24"/>
                <w:color w:val="000000"/>
              </w:rPr>
              <w:t>JWT 令牌）、限流（防止高并发冲击）、日志聚合、协议转换（HTTP/HTTPS 与内部服务协议）。</w:t>
            </w:r>
          </w:p>
          <w:p>
            <w:pPr>
              <w:pStyle w:val="null3"/>
              <w:ind w:firstLine="480"/>
              <w:jc w:val="both"/>
            </w:pPr>
            <w:r>
              <w:rPr>
                <w:rFonts w:ascii="仿宋_GB2312" w:hAnsi="仿宋_GB2312" w:cs="仿宋_GB2312" w:eastAsia="仿宋_GB2312"/>
                <w:sz w:val="24"/>
                <w:color w:val="000000"/>
              </w:rPr>
              <w:t>3）核心微服务层</w:t>
            </w:r>
          </w:p>
          <w:p>
            <w:pPr>
              <w:pStyle w:val="null3"/>
              <w:ind w:firstLine="480"/>
              <w:jc w:val="both"/>
            </w:pPr>
            <w:r>
              <w:rPr>
                <w:rFonts w:ascii="仿宋_GB2312" w:hAnsi="仿宋_GB2312" w:cs="仿宋_GB2312" w:eastAsia="仿宋_GB2312"/>
                <w:sz w:val="24"/>
                <w:color w:val="000000"/>
              </w:rPr>
              <w:t>按</w:t>
            </w:r>
            <w:r>
              <w:rPr>
                <w:rFonts w:ascii="仿宋_GB2312" w:hAnsi="仿宋_GB2312" w:cs="仿宋_GB2312" w:eastAsia="仿宋_GB2312"/>
                <w:sz w:val="24"/>
                <w:color w:val="000000"/>
              </w:rPr>
              <w:t>“控制 - 采集 - 模拟 - 分析 - 管理” 逻辑拆分，各服务独立部署，通过 REST API（同步）或消息队列（异步）通信。</w:t>
            </w:r>
          </w:p>
          <w:p>
            <w:pPr>
              <w:pStyle w:val="null3"/>
              <w:ind w:firstLine="480"/>
              <w:jc w:val="both"/>
            </w:pPr>
            <w:r>
              <w:rPr>
                <w:rFonts w:ascii="仿宋_GB2312" w:hAnsi="仿宋_GB2312" w:cs="仿宋_GB2312" w:eastAsia="仿宋_GB2312"/>
                <w:sz w:val="24"/>
                <w:color w:val="000000"/>
              </w:rPr>
              <w:t>4）数据存储层</w:t>
            </w:r>
          </w:p>
          <w:p>
            <w:pPr>
              <w:pStyle w:val="null3"/>
              <w:ind w:firstLine="480"/>
              <w:jc w:val="both"/>
            </w:pPr>
            <w:r>
              <w:rPr>
                <w:rFonts w:ascii="仿宋_GB2312" w:hAnsi="仿宋_GB2312" w:cs="仿宋_GB2312" w:eastAsia="仿宋_GB2312"/>
                <w:sz w:val="24"/>
                <w:color w:val="000000"/>
              </w:rPr>
              <w:t>针对不同类型数据（时序、结构化、非结构化）采用多数据库协同存储，确保高效读写。</w:t>
            </w:r>
          </w:p>
          <w:p>
            <w:pPr>
              <w:pStyle w:val="null3"/>
              <w:ind w:firstLine="480"/>
              <w:jc w:val="both"/>
            </w:pPr>
            <w:r>
              <w:rPr>
                <w:rFonts w:ascii="仿宋_GB2312" w:hAnsi="仿宋_GB2312" w:cs="仿宋_GB2312" w:eastAsia="仿宋_GB2312"/>
                <w:sz w:val="24"/>
                <w:color w:val="000000"/>
              </w:rPr>
              <w:t>5）基础设施层</w:t>
            </w:r>
          </w:p>
          <w:p>
            <w:pPr>
              <w:pStyle w:val="null3"/>
              <w:ind w:firstLine="480"/>
              <w:jc w:val="both"/>
            </w:pPr>
            <w:r>
              <w:rPr>
                <w:rFonts w:ascii="仿宋_GB2312" w:hAnsi="仿宋_GB2312" w:cs="仿宋_GB2312" w:eastAsia="仿宋_GB2312"/>
                <w:sz w:val="24"/>
                <w:color w:val="000000"/>
              </w:rPr>
              <w:t>容器化部署：</w:t>
            </w:r>
            <w:r>
              <w:rPr>
                <w:rFonts w:ascii="仿宋_GB2312" w:hAnsi="仿宋_GB2312" w:cs="仿宋_GB2312" w:eastAsia="仿宋_GB2312"/>
                <w:sz w:val="24"/>
                <w:color w:val="000000"/>
              </w:rPr>
              <w:t>Docker 封装各微服务，Kubernetes 实现编排（自动扩缩容、故障恢复）。</w:t>
            </w:r>
          </w:p>
          <w:p>
            <w:pPr>
              <w:pStyle w:val="null3"/>
              <w:ind w:firstLine="480"/>
              <w:jc w:val="both"/>
            </w:pPr>
            <w:r>
              <w:rPr>
                <w:rFonts w:ascii="仿宋_GB2312" w:hAnsi="仿宋_GB2312" w:cs="仿宋_GB2312" w:eastAsia="仿宋_GB2312"/>
                <w:sz w:val="24"/>
                <w:color w:val="000000"/>
              </w:rPr>
              <w:t>消息队列：</w:t>
            </w:r>
            <w:r>
              <w:rPr>
                <w:rFonts w:ascii="仿宋_GB2312" w:hAnsi="仿宋_GB2312" w:cs="仿宋_GB2312" w:eastAsia="仿宋_GB2312"/>
                <w:sz w:val="24"/>
                <w:color w:val="000000"/>
              </w:rPr>
              <w:t>Kafka（高吞吐，用于数据采集服务推送实时数据）、RabbitMQ（低延迟，用于控制指令传递）。</w:t>
            </w:r>
          </w:p>
          <w:p>
            <w:pPr>
              <w:pStyle w:val="null3"/>
              <w:ind w:firstLine="480"/>
              <w:jc w:val="both"/>
            </w:pPr>
            <w:r>
              <w:rPr>
                <w:rFonts w:ascii="仿宋_GB2312" w:hAnsi="仿宋_GB2312" w:cs="仿宋_GB2312" w:eastAsia="仿宋_GB2312"/>
                <w:sz w:val="24"/>
                <w:color w:val="000000"/>
              </w:rPr>
              <w:t>缓存：</w:t>
            </w:r>
            <w:r>
              <w:rPr>
                <w:rFonts w:ascii="仿宋_GB2312" w:hAnsi="仿宋_GB2312" w:cs="仿宋_GB2312" w:eastAsia="仿宋_GB2312"/>
                <w:sz w:val="24"/>
                <w:color w:val="000000"/>
              </w:rPr>
              <w:t>Redis（缓存高频访问数据，如当前实验参数、设备在线状态，减轻数据库压力）。</w:t>
            </w:r>
          </w:p>
          <w:p>
            <w:pPr>
              <w:pStyle w:val="null3"/>
              <w:ind w:firstLine="480"/>
              <w:jc w:val="both"/>
            </w:pPr>
            <w:r>
              <w:rPr>
                <w:rFonts w:ascii="仿宋_GB2312" w:hAnsi="仿宋_GB2312" w:cs="仿宋_GB2312" w:eastAsia="仿宋_GB2312"/>
                <w:sz w:val="24"/>
                <w:color w:val="000000"/>
              </w:rPr>
              <w:t>灾备：数据库定时备份（</w:t>
            </w:r>
            <w:r>
              <w:rPr>
                <w:rFonts w:ascii="仿宋_GB2312" w:hAnsi="仿宋_GB2312" w:cs="仿宋_GB2312" w:eastAsia="仿宋_GB2312"/>
                <w:sz w:val="24"/>
                <w:color w:val="000000"/>
              </w:rPr>
              <w:t>PostgreSQL WAL 归档、InfluxDB 备份脚本），支持跨节点数据同步。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3）Python 生态适配要求</w:t>
            </w:r>
          </w:p>
          <w:p>
            <w:pPr>
              <w:pStyle w:val="null3"/>
              <w:ind w:firstLine="480"/>
              <w:jc w:val="both"/>
            </w:pPr>
            <w:r>
              <w:rPr>
                <w:rFonts w:ascii="仿宋_GB2312" w:hAnsi="仿宋_GB2312" w:cs="仿宋_GB2312" w:eastAsia="仿宋_GB2312"/>
                <w:sz w:val="24"/>
                <w:color w:val="000000"/>
              </w:rPr>
              <w:t>核心服务开发：数据采集、模拟计算、数据分析服务需基于</w:t>
            </w:r>
            <w:r>
              <w:rPr>
                <w:rFonts w:ascii="仿宋_GB2312" w:hAnsi="仿宋_GB2312" w:cs="仿宋_GB2312" w:eastAsia="仿宋_GB2312"/>
                <w:sz w:val="24"/>
                <w:color w:val="000000"/>
              </w:rPr>
              <w:t>Python 开发，直接调用其科学计算库（如用 Pandas 清洗时序数据，用 SciPy 求解热传导微分方程）。</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4）控制分析系统服务器2台（一用一备）及实验平台：双路4U塔式服务器CPU性能：≥2颗5416S，内核：≥32核；主频：2.0-4.0GHz，内存≥64G，硬盘：≥960G SSD+8T；液晶显示器：≥27英寸，配套无线键盘鼠标、A3/A4彩色硒鼓打印机、报警音响、配套实验环境及实验台。</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5）系统通过对电气火灾早期征兆各类实验设备或系统的数据集成，设计系统软件架构，建立系统数据库，构建电气火灾全过程模拟实验控制分析系统软件，实现各类实验设备的逻辑时序控制，同步采集分析交/直流电气线路的超温、发光连接、过载、故障电弧等“电-热-气-光-声-磁”特性参数，为构建超温、发光连接、过载、故障电弧等电气故障及耦合电气故障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6）系统集成采集精度≥0.1%的电压、电流等电参数传感器，实现电压、电流、时频域、波形等电相关的特性信号分析。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7）系统集成高速红外热像仪的流媒体视频信息，分析不同电气故障演化过程温度的演化规律及特征温度。</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8）系统集成多参数气体传感器的气体浓度信息，分析不同电气故障在不同阶段的气体产物及标志性气体，为构建不同类型电气故障气体指标特征数据库提供基础数据。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9）系统集成高分辨率光谱仪的电弧光信号，分析不同电气故障的光谱特征及光谱波段，通过光-热转换算法分析电弧热特征，为构建不同类型电气故障电弧光谱特征数据库提供基础数据。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系统集成弧声采集装置采集故障发生过程中的放电声音信号，研究故障放电过程中电弧声音信号的低频、高频特性，以及声音信号的随机性和非平稳特性，探究放电声音信号与故障电气量的关联关系，为构建不同类型电气故障弧声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系统集成磁场辐射采集装置的磁场辐射信号，分析故障放电过程中磁场辐射信号在不同电弧类型、电流大小、间隙距离下的辐射特性，探究磁场辐射信号与电弧故障的关联关系，为构建不同类型电气故障磁场辐射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12）系统集成热解粒子探测器、故障电弧探测器、极早期烟雾探测器等设备采集的信息，为电气故障演化过程其他特征数据库提供基础数据。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系统采集分析故障发生过程中的气体浓度和热解粒子信息，获取各种气体或粒子元素信号，分析故障放电过程中的电弧气体特性，以及热解粒子的随机性和非平稳特性，为放电特征气体浓度、热解粒子与故障电气量关联关系的确定提供基础数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14）系统集成高速摄像仪，监测电弧的形态、长度和亮度的快速变化，观察分析故障电弧生长过程、电弧放电的瞬时变化规律及特征参数，为研究电弧的起弧、稳定燃烧和熄弧等动态行为提供基础数据；分析故障电弧内部的温度分布和电流密度等细节特征，评估电弧放电对设备和材料的影响。</w:t>
            </w:r>
          </w:p>
          <w:p>
            <w:pPr>
              <w:pStyle w:val="null3"/>
              <w:ind w:firstLine="480"/>
              <w:jc w:val="both"/>
            </w:pPr>
            <w:r>
              <w:rPr>
                <w:rFonts w:ascii="仿宋_GB2312" w:hAnsi="仿宋_GB2312" w:cs="仿宋_GB2312" w:eastAsia="仿宋_GB2312"/>
                <w:sz w:val="21"/>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15）本系统能够实现电弧故障过程中“电-热-气-光-声-磁”特性参数的同步采集与存储，联合分析电压、电流、热量、气体粒子、高速摄像、弧声、磁场等特性参数，融入分级预警模型，为系统集成提供API接口，实现电气火灾风险隐患的分级预警。</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16）系统具备扩展功能，可满足实验装置升级扩容及实验数据融合分析需求。</w:t>
            </w:r>
          </w:p>
          <w:p>
            <w:pPr>
              <w:pStyle w:val="null3"/>
              <w:ind w:firstLine="480"/>
              <w:jc w:val="both"/>
            </w:pPr>
            <w:r>
              <w:rPr>
                <w:rFonts w:ascii="仿宋_GB2312" w:hAnsi="仿宋_GB2312" w:cs="仿宋_GB2312" w:eastAsia="仿宋_GB2312"/>
                <w:sz w:val="24"/>
                <w:color w:val="000000"/>
              </w:rPr>
              <w:t>6.其他测试分析系统</w:t>
            </w:r>
          </w:p>
          <w:p>
            <w:pPr>
              <w:pStyle w:val="null3"/>
            </w:pPr>
            <w:r>
              <w:rPr>
                <w:rFonts w:ascii="仿宋_GB2312" w:hAnsi="仿宋_GB2312" w:cs="仿宋_GB2312" w:eastAsia="仿宋_GB2312"/>
                <w:sz w:val="24"/>
                <w:color w:val="000000"/>
              </w:rPr>
              <w:t>（1）旋转蒸发仪4台：1台旋转瓶容量10L，最高温≥99℃，法兰口大口径Φ75mm，触摸式液晶彩屏，温度显示，转速显示，时间设定，主屏和水浴锅双屏显示；1台旋转瓶容量6L，最高温≥99℃，法兰口大口径Φ75mm，变频调速，温度数显，转速数显，水浴锅自动升降；2台旋转瓶容量2L，最高温≥99℃，温度显示，转速显示，立式标准磨口螺纹冷凝管；</w:t>
            </w:r>
          </w:p>
          <w:p>
            <w:pPr>
              <w:pStyle w:val="null3"/>
            </w:pPr>
            <w:r>
              <w:rPr>
                <w:rFonts w:ascii="仿宋_GB2312" w:hAnsi="仿宋_GB2312" w:cs="仿宋_GB2312" w:eastAsia="仿宋_GB2312"/>
                <w:sz w:val="24"/>
                <w:color w:val="000000"/>
              </w:rPr>
              <w:t>（2）冷却循环仪4台，1台储液槽容积≥30L，温度≤-30℃；1台储液槽容积≥20L，温度≤-20℃；2台储液槽容积≥20L，温度≤-10℃；</w:t>
            </w:r>
          </w:p>
          <w:p>
            <w:pPr>
              <w:pStyle w:val="null3"/>
            </w:pPr>
            <w:r>
              <w:rPr>
                <w:rFonts w:ascii="仿宋_GB2312" w:hAnsi="仿宋_GB2312" w:cs="仿宋_GB2312" w:eastAsia="仿宋_GB2312"/>
                <w:sz w:val="24"/>
                <w:color w:val="000000"/>
              </w:rPr>
              <w:t>▲（3）紫外可见分光光度计1台，Z轴高度≥20mm，双光束、波长范围≥190～1100nm，脉冲氙灯、光度精度≤±0.005A、最大扫描速率≥24000 nm/min，室光免疫；</w:t>
            </w:r>
          </w:p>
          <w:p>
            <w:pPr>
              <w:pStyle w:val="null3"/>
            </w:pPr>
            <w:r>
              <w:rPr>
                <w:rFonts w:ascii="仿宋_GB2312" w:hAnsi="仿宋_GB2312" w:cs="仿宋_GB2312" w:eastAsia="仿宋_GB2312"/>
                <w:sz w:val="24"/>
                <w:color w:val="000000"/>
              </w:rPr>
              <w:t>▲（4）光学荧光显微镜1台，最放大倍数(光学放大)≥12.5X~500X，采用高亮度LED透反射光源，汞灯荧光光源（≥100W），具备紫外光激发、蓝光激发、绿光激发三色激发块；显微数码照相装置有效像素≥2000万，帧率≥30FPS。</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采购合同签订后6个月内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西安科技大学雁塔校区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结算单位：采购人结算，在付款前必须开具全额增值税发票给采购人。签订合同前向学校缴纳5%的履约保证金，合同签订后采购人支付40%合同金额的预付款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人规定的质量标准要求。按简易程序验收，验收内容包括设备的外观、数量、技术参数、功能等是否符合合同要求，以及设备的运行稳定性和检测结果的准确性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 验收合格之日起3年， 2.售后服务响应时间（质保期内）：即时响应（包括电话响应）；电话响应无法解决 48 小时内到达现场。修复时间 24 小时内解决；如在 24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付款方式：结算单位：采购人结算，在付款前必须开具全额增值税发票给采购人。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供应商资格要求.docx 投标函 中小企业声明函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货物标的出现漏项或数量与要求不符的（不合格） 货物标的未出现漏项或货物数量与要求符合的 （合格）</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商务应答表 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基本分（45分）：完全符合、响应招标文件要求计45分，“▲”参数负偏离一项扣3分，未带标识参数每负偏离一项扣1分，扣完为止。</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供应商针对本项目的实施方案，方案内容包含： ①项目总体实施方案；②项目人员方案；③项目实施时间安排方案；④安装调试方案和验收方案。 二、评审标准 1.完整性：方案须全面，对评审内容中的各项要求有详细描述； 2.可实施性：切合本项目实际情况，实施步骤清晰、合理； 3.针对性：方案能够紧扣项目实际情况，内容科学合理。 三、赋分标准（满分6分）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供应商针对本项目的实施方案，方案内容包含： ①质量保证期限及质量保证的范围承诺；②售后人员配置安排计划；③故障处理响应时间；④售后服务保障措施；⑤培训内容⑥培训计划安排。 二、评审标准 1.完整性：方案须全面，对评审内容中的各项要求有详细描述； 2.可实施性：切合本项目实际情况，实施步骤清晰、合理； 3.针对性：方案能够紧扣项目实际情况，内容科学合理。 三、赋分标准（满分9分）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 ⑤培训内容：每完全满足一个评审标准得0.5分，满分1.5分。 ⑥培训计划安排：每完全满足一个评审标准得0.5分，满分1.5分。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提供供应商2022年6月1日至今类似项目合同（以合同签订日期为准），每提供1个得1分，最高得5分。 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