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版本号：ZJZBSX-250732-1092820250924001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采购新一代通信技术实践仿真教学子平台项目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ZJZBSX-250732-10928</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采购新一代通信技术实践仿真教学子平台项目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ZJZBSX-250732-10928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采购新一代通信技术实践仿真教学子平台项目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采购新一代通信技术实践仿真教学子平台项目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投标人需在项目电子化交易系统中按要求上传相应证明文件并进行电子签章。</w:t>
      </w:r>
    </w:p>
    <w:p>
      <w:pPr>
        <w:pStyle w:val="null3"/>
      </w:pPr>
      <w:r>
        <w:rPr>
          <w:rFonts w:ascii="仿宋_GB2312" w:hAnsi="仿宋_GB2312" w:cs="仿宋_GB2312" w:eastAsia="仿宋_GB2312"/>
        </w:rPr>
        <w:t>2、授权委托：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投标人需在项目电子化交易系统中按要求上传相应证明文件并进行电子签章。</w:t>
      </w:r>
    </w:p>
    <w:p>
      <w:pPr>
        <w:pStyle w:val="null3"/>
      </w:pPr>
      <w:r>
        <w:rPr>
          <w:rFonts w:ascii="仿宋_GB2312" w:hAnsi="仿宋_GB2312" w:cs="仿宋_GB2312" w:eastAsia="仿宋_GB2312"/>
        </w:rPr>
        <w:t>3、财务状况报告：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投标人需在项目电子化交易系统中按要求上传相应证明文件并进行电子签章。</w:t>
      </w:r>
    </w:p>
    <w:p>
      <w:pPr>
        <w:pStyle w:val="null3"/>
      </w:pPr>
      <w:r>
        <w:rPr>
          <w:rFonts w:ascii="仿宋_GB2312" w:hAnsi="仿宋_GB2312" w:cs="仿宋_GB2312" w:eastAsia="仿宋_GB2312"/>
        </w:rPr>
        <w:t>4、社会保障资金缴纳证明：投标人提供2024年09月至投标文件递交截止日已缴存的任意一个月的社会保障资金缴存单据或社保机构开具的社会保险参保缴费情况证明，依法不需要缴纳社会保障资金的投标人应提供相关文件证明。投标人需在项目电子化交易系统中按要求上传相应证明文件并进行电子签章。</w:t>
      </w:r>
    </w:p>
    <w:p>
      <w:pPr>
        <w:pStyle w:val="null3"/>
      </w:pPr>
      <w:r>
        <w:rPr>
          <w:rFonts w:ascii="仿宋_GB2312" w:hAnsi="仿宋_GB2312" w:cs="仿宋_GB2312" w:eastAsia="仿宋_GB2312"/>
        </w:rPr>
        <w:t>5、税收缴纳证明：投标人提供2024年09月至投标文件递交截止日已缴存的任意一个月的纳税证明或完税证明，纳税证明或完税证明上应有代收机构或税务机关的公章，依法免税的投标人应提供相关文件证明。投标人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投标人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7、承诺书：提供具有履行合同所必需的设备和专业技术能力的承诺原件。投标人需在项目电子化交易系统中按要求上传相应证明文件并进行电子签章。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立式空调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立式空调</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说明：投标人中标后凭中标通知书向采购人缴纳中标金额的5%作为履约保证金，验收合格支付货款后，5%履约保证金无质量问题一次性无息退还。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 按计价格[2002]1980号文件及发改办【2003】857号文件规定标准（50万元以下按标准的100%、50万元（含）以上按标准的80%）支付。具体以代理机构出具的发票为准。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采购新一代通信技术实践仿真教学子平台项目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通信技术实践仿真教学子平台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标的名称：通信技术实践仿真教学子平台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6"/>
              <w:gridCol w:w="293"/>
              <w:gridCol w:w="282"/>
              <w:gridCol w:w="1493"/>
              <w:gridCol w:w="190"/>
              <w:gridCol w:w="706"/>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建设要求</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建设内容</w:t>
                  </w:r>
                </w:p>
              </w:tc>
              <w:tc>
                <w:tcPr>
                  <w:tcW w:type="dxa" w:w="1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c>
                <w:tcPr>
                  <w:tcW w:type="dxa" w:w="19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5G工程实践仿真教学平台（核心产品）</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5G工程实践仿真教学平台</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▲1.平台符合B/S架构，支持浏览器访问，例如谷歌浏览器。</w:t>
                  </w:r>
                </w:p>
                <w:p>
                  <w:pPr>
                    <w:pStyle w:val="null3"/>
                    <w:jc w:val="left"/>
                  </w:pPr>
                  <w:r>
                    <w:rPr>
                      <w:rFonts w:ascii="仿宋_GB2312" w:hAnsi="仿宋_GB2312" w:cs="仿宋_GB2312" w:eastAsia="仿宋_GB2312"/>
                      <w:sz w:val="20"/>
                      <w:color w:val="000000"/>
                    </w:rPr>
                    <w:t>2.支持分布式处理架构，采用分布式资源分发与访问。</w:t>
                  </w:r>
                </w:p>
                <w:p>
                  <w:pPr>
                    <w:pStyle w:val="null3"/>
                    <w:jc w:val="left"/>
                  </w:pPr>
                  <w:r>
                    <w:rPr>
                      <w:rFonts w:ascii="仿宋_GB2312" w:hAnsi="仿宋_GB2312" w:cs="仿宋_GB2312" w:eastAsia="仿宋_GB2312"/>
                      <w:sz w:val="20"/>
                      <w:color w:val="000000"/>
                    </w:rPr>
                    <w:t>▲3.平台支持300+用户同时访问本地服务器进行实验的能力。</w:t>
                  </w:r>
                </w:p>
                <w:p>
                  <w:pPr>
                    <w:pStyle w:val="null3"/>
                    <w:jc w:val="left"/>
                  </w:pPr>
                  <w:r>
                    <w:rPr>
                      <w:rFonts w:ascii="仿宋_GB2312" w:hAnsi="仿宋_GB2312" w:cs="仿宋_GB2312" w:eastAsia="仿宋_GB2312"/>
                      <w:sz w:val="20"/>
                      <w:color w:val="000000"/>
                    </w:rPr>
                    <w:t>4.支持对5G网络规划、建设、维护、优化四个环节的主要工作进行参与，明确5G工程中主要岗位的构成及工作内容分工情况。</w:t>
                  </w:r>
                </w:p>
                <w:p>
                  <w:pPr>
                    <w:pStyle w:val="null3"/>
                    <w:jc w:val="left"/>
                  </w:pPr>
                  <w:r>
                    <w:rPr>
                      <w:rFonts w:ascii="仿宋_GB2312" w:hAnsi="仿宋_GB2312" w:cs="仿宋_GB2312" w:eastAsia="仿宋_GB2312"/>
                      <w:sz w:val="20"/>
                      <w:color w:val="000000"/>
                    </w:rPr>
                    <w:t>5.支持对5G机房设备的组成情况，具体设备组成及设备识别，对不同设备间的连接关系（架构组成）及相关设备的作用有相对直观的认知。</w:t>
                  </w:r>
                </w:p>
                <w:p>
                  <w:pPr>
                    <w:pStyle w:val="null3"/>
                    <w:jc w:val="left"/>
                  </w:pPr>
                  <w:r>
                    <w:rPr>
                      <w:rFonts w:ascii="仿宋_GB2312" w:hAnsi="仿宋_GB2312" w:cs="仿宋_GB2312" w:eastAsia="仿宋_GB2312"/>
                      <w:sz w:val="20"/>
                      <w:color w:val="000000"/>
                    </w:rPr>
                    <w:t>6.支持对勘站规划环节的重点工作进行了解：涉及对射频天线规划工程规范的认识，如以正北方向为0度进行方位角设置、天线挂高的概念及设置规范、天线下倾角的概念及设置规则（大或者小对网络覆盖的影响）。</w:t>
                  </w:r>
                </w:p>
                <w:p>
                  <w:pPr>
                    <w:pStyle w:val="null3"/>
                    <w:jc w:val="left"/>
                  </w:pPr>
                  <w:r>
                    <w:rPr>
                      <w:rFonts w:ascii="仿宋_GB2312" w:hAnsi="仿宋_GB2312" w:cs="仿宋_GB2312" w:eastAsia="仿宋_GB2312"/>
                      <w:sz w:val="20"/>
                      <w:color w:val="000000"/>
                    </w:rPr>
                    <w:t>7.支持对勘站环节涉及的设备选型问题的了解：如AAU的选型，不同AAU类型的关键性能参数对覆盖或容量有怎样的影响，规划阶段设备选型的依据有哪些。</w:t>
                  </w:r>
                </w:p>
                <w:p>
                  <w:pPr>
                    <w:pStyle w:val="null3"/>
                    <w:jc w:val="left"/>
                  </w:pPr>
                  <w:r>
                    <w:rPr>
                      <w:rFonts w:ascii="仿宋_GB2312" w:hAnsi="仿宋_GB2312" w:cs="仿宋_GB2312" w:eastAsia="仿宋_GB2312"/>
                      <w:sz w:val="20"/>
                      <w:color w:val="000000"/>
                    </w:rPr>
                    <w:t>8.支持对AAU与BBU间设备接口的识别，及设备间连接传输媒介选型类别的了解，涉及光纤型号的选择（支持≥6种光纤型号的选择），AAU电源类型的选择（交流电或者直流电），对不同电源类型使用场景的探究。</w:t>
                  </w:r>
                </w:p>
                <w:p>
                  <w:pPr>
                    <w:pStyle w:val="null3"/>
                    <w:jc w:val="left"/>
                  </w:pPr>
                  <w:r>
                    <w:rPr>
                      <w:rFonts w:ascii="仿宋_GB2312" w:hAnsi="仿宋_GB2312" w:cs="仿宋_GB2312" w:eastAsia="仿宋_GB2312"/>
                      <w:sz w:val="20"/>
                      <w:color w:val="000000"/>
                    </w:rPr>
                    <w:t>9.支持对登录基站的方式和作用的了解，登录地址的来源（分为实体教学型基站和仿真界面两种）。</w:t>
                  </w:r>
                </w:p>
                <w:p>
                  <w:pPr>
                    <w:pStyle w:val="null3"/>
                    <w:jc w:val="left"/>
                  </w:pPr>
                  <w:r>
                    <w:rPr>
                      <w:rFonts w:ascii="仿宋_GB2312" w:hAnsi="仿宋_GB2312" w:cs="仿宋_GB2312" w:eastAsia="仿宋_GB2312"/>
                      <w:sz w:val="20"/>
                      <w:color w:val="000000"/>
                    </w:rPr>
                    <w:t>10.支持对5G机房设备：核心网、业务服务器、BBU、OMC服务器供电方式的了解，选择配置正确的供电模式。</w:t>
                  </w:r>
                </w:p>
                <w:p>
                  <w:pPr>
                    <w:pStyle w:val="null3"/>
                    <w:jc w:val="left"/>
                  </w:pPr>
                  <w:r>
                    <w:rPr>
                      <w:rFonts w:ascii="仿宋_GB2312" w:hAnsi="仿宋_GB2312" w:cs="仿宋_GB2312" w:eastAsia="仿宋_GB2312"/>
                      <w:sz w:val="20"/>
                      <w:color w:val="000000"/>
                    </w:rPr>
                    <w:t>11.支持对5G BBU不同类型进行板卡布配环节操作练习（以EMB6216为例），了解具体板卡分布（主控板板、基带板、风扇单元、电源单元等），对不同板卡作用的了解及不同板卡涉及设备接口的识别。</w:t>
                  </w:r>
                </w:p>
                <w:p>
                  <w:pPr>
                    <w:pStyle w:val="null3"/>
                    <w:jc w:val="left"/>
                  </w:pPr>
                  <w:r>
                    <w:rPr>
                      <w:rFonts w:ascii="仿宋_GB2312" w:hAnsi="仿宋_GB2312" w:cs="仿宋_GB2312" w:eastAsia="仿宋_GB2312"/>
                      <w:sz w:val="20"/>
                      <w:color w:val="000000"/>
                    </w:rPr>
                    <w:t>12.支持对5G双模基站具体板卡分布的操作和网元布配整体设备连接的操作练习。</w:t>
                  </w:r>
                </w:p>
                <w:p>
                  <w:pPr>
                    <w:pStyle w:val="null3"/>
                    <w:jc w:val="left"/>
                  </w:pPr>
                  <w:r>
                    <w:rPr>
                      <w:rFonts w:ascii="仿宋_GB2312" w:hAnsi="仿宋_GB2312" w:cs="仿宋_GB2312" w:eastAsia="仿宋_GB2312"/>
                      <w:sz w:val="20"/>
                      <w:color w:val="000000"/>
                    </w:rPr>
                    <w:t>▲13.支持GPS安装工程认知功能，包括连接器、GPS馈线、GPS避雷针、GPS下跳线、接地线等，通过模拟搭建环节，掌握GPS工程安装部件组成。</w:t>
                  </w:r>
                </w:p>
                <w:p>
                  <w:pPr>
                    <w:pStyle w:val="null3"/>
                    <w:jc w:val="left"/>
                  </w:pPr>
                  <w:r>
                    <w:rPr>
                      <w:rFonts w:ascii="仿宋_GB2312" w:hAnsi="仿宋_GB2312" w:cs="仿宋_GB2312" w:eastAsia="仿宋_GB2312"/>
                      <w:sz w:val="20"/>
                      <w:color w:val="000000"/>
                    </w:rPr>
                    <w:t>14.支持真实工程实践案例的版本升级（BBU和AAU）全过程、告警日志解析实验。</w:t>
                  </w:r>
                </w:p>
                <w:p>
                  <w:pPr>
                    <w:pStyle w:val="null3"/>
                    <w:jc w:val="left"/>
                  </w:pPr>
                  <w:r>
                    <w:rPr>
                      <w:rFonts w:ascii="仿宋_GB2312" w:hAnsi="仿宋_GB2312" w:cs="仿宋_GB2312" w:eastAsia="仿宋_GB2312"/>
                      <w:sz w:val="20"/>
                      <w:color w:val="000000"/>
                    </w:rPr>
                    <w:t>15.支持小区网络规划环节涉及小区参数配置规则的了解：带宽、帧结构、子载波间隔、跟踪区编号、网络码等参数。</w:t>
                  </w:r>
                </w:p>
                <w:p>
                  <w:pPr>
                    <w:pStyle w:val="null3"/>
                    <w:jc w:val="left"/>
                  </w:pPr>
                  <w:r>
                    <w:rPr>
                      <w:rFonts w:ascii="仿宋_GB2312" w:hAnsi="仿宋_GB2312" w:cs="仿宋_GB2312" w:eastAsia="仿宋_GB2312"/>
                      <w:sz w:val="20"/>
                      <w:color w:val="000000"/>
                    </w:rPr>
                    <w:t>16.支持对5G基站实际运维场景中BBU、AAU、核心网、业务服务器、OMC服务器等设备间硬件设备连接配置（涉及硬件接口识别、辅材具体类型选择、光模块类型的选择），设备间路由关系配置、IP地址配置。</w:t>
                  </w:r>
                </w:p>
                <w:p>
                  <w:pPr>
                    <w:pStyle w:val="null3"/>
                    <w:jc w:val="left"/>
                  </w:pPr>
                  <w:r>
                    <w:rPr>
                      <w:rFonts w:ascii="仿宋_GB2312" w:hAnsi="仿宋_GB2312" w:cs="仿宋_GB2312" w:eastAsia="仿宋_GB2312"/>
                      <w:sz w:val="20"/>
                      <w:color w:val="000000"/>
                    </w:rPr>
                    <w:t>17.支持对5G进行小区网络规划涉及主要参数配置（PCI、频点、功率），NR本地小区规划参数配置，NR邻区配置规则梳理，进行邻区关系和邻区信息配置。</w:t>
                  </w:r>
                </w:p>
                <w:p>
                  <w:pPr>
                    <w:pStyle w:val="null3"/>
                    <w:jc w:val="left"/>
                  </w:pPr>
                  <w:r>
                    <w:rPr>
                      <w:rFonts w:ascii="仿宋_GB2312" w:hAnsi="仿宋_GB2312" w:cs="仿宋_GB2312" w:eastAsia="仿宋_GB2312"/>
                      <w:sz w:val="20"/>
                      <w:color w:val="000000"/>
                    </w:rPr>
                    <w:t>▲18.支持对5G核心网主要网元功能模块功能识别，包括AMF、SMF、UDM、AUSF、UPF、PCF、NRF、NEF），了解核心网鉴权机制，完成签约号码设置，以及在核心网角度配置与核心网存在传输关系的传输路径配置，硬件接口和传输辅材正确配置。</w:t>
                  </w:r>
                </w:p>
                <w:p>
                  <w:pPr>
                    <w:pStyle w:val="null3"/>
                    <w:jc w:val="left"/>
                  </w:pPr>
                  <w:r>
                    <w:rPr>
                      <w:rFonts w:ascii="仿宋_GB2312" w:hAnsi="仿宋_GB2312" w:cs="仿宋_GB2312" w:eastAsia="仿宋_GB2312"/>
                      <w:sz w:val="20"/>
                      <w:color w:val="000000"/>
                    </w:rPr>
                    <w:t>19.支持对5G业务服务器在5G端到端业务中的作用的理解，对业务服务器存在传输关系的设备选择和传输信息配置。</w:t>
                  </w:r>
                </w:p>
                <w:p>
                  <w:pPr>
                    <w:pStyle w:val="null3"/>
                    <w:jc w:val="left"/>
                  </w:pPr>
                  <w:r>
                    <w:rPr>
                      <w:rFonts w:ascii="仿宋_GB2312" w:hAnsi="仿宋_GB2312" w:cs="仿宋_GB2312" w:eastAsia="仿宋_GB2312"/>
                      <w:sz w:val="20"/>
                      <w:color w:val="000000"/>
                    </w:rPr>
                    <w:t>20.支持对OMC服务器在5G网络维护中的主要作用进行了解，对与OMC服务器存在连接关系的设备进行传输信息的配置。</w:t>
                  </w:r>
                </w:p>
                <w:p>
                  <w:pPr>
                    <w:pStyle w:val="null3"/>
                    <w:jc w:val="left"/>
                  </w:pPr>
                  <w:r>
                    <w:rPr>
                      <w:rFonts w:ascii="仿宋_GB2312" w:hAnsi="仿宋_GB2312" w:cs="仿宋_GB2312" w:eastAsia="仿宋_GB2312"/>
                      <w:sz w:val="20"/>
                      <w:color w:val="000000"/>
                    </w:rPr>
                    <w:t>21.支持5G基站开通调测相关参数验证功能，采用开通调测流程图为主线，关联勘站规划参数、BBU配置参数、核心网配置参数、OMC配置参数、业务服务器配置参数，校验功能显示配置正确的节点和错误的节点，针对错误的节点生成具有网元信息的详细告警信息，可进一步理解不同参数对开通调测流程的影响。</w:t>
                  </w:r>
                </w:p>
                <w:p>
                  <w:pPr>
                    <w:pStyle w:val="null3"/>
                    <w:jc w:val="left"/>
                  </w:pPr>
                  <w:r>
                    <w:rPr>
                      <w:rFonts w:ascii="仿宋_GB2312" w:hAnsi="仿宋_GB2312" w:cs="仿宋_GB2312" w:eastAsia="仿宋_GB2312"/>
                      <w:sz w:val="20"/>
                      <w:color w:val="000000"/>
                    </w:rPr>
                    <w:t>22.支持5G业务验证功能，模拟现场优化工作中单站验证测试工作内容，进行单站优化网络下载速率测试相关参数配置，包括对业务运行次数、业务运行时间间隔、服务器地址、终端号码、网络模式、小区ID等进行配置，网络正确开通且下载测试配置正确可打印终端开机入网信令流程。</w:t>
                  </w:r>
                </w:p>
                <w:p>
                  <w:pPr>
                    <w:pStyle w:val="null3"/>
                    <w:jc w:val="left"/>
                  </w:pPr>
                  <w:r>
                    <w:rPr>
                      <w:rFonts w:ascii="仿宋_GB2312" w:hAnsi="仿宋_GB2312" w:cs="仿宋_GB2312" w:eastAsia="仿宋_GB2312"/>
                      <w:sz w:val="20"/>
                      <w:color w:val="000000"/>
                    </w:rPr>
                    <w:t>23.支持对5G行业应用与5G网络关联关系验证，5G网络开通前提下可进行C-V2X业务的进行。</w:t>
                  </w:r>
                </w:p>
                <w:p>
                  <w:pPr>
                    <w:pStyle w:val="null3"/>
                    <w:jc w:val="left"/>
                  </w:pPr>
                  <w:r>
                    <w:rPr>
                      <w:rFonts w:ascii="仿宋_GB2312" w:hAnsi="仿宋_GB2312" w:cs="仿宋_GB2312" w:eastAsia="仿宋_GB2312"/>
                      <w:sz w:val="20"/>
                      <w:color w:val="000000"/>
                    </w:rPr>
                    <w:t>▲24.支持对车联网设定场景下架构的搭建，涉及车载单元、路侧单元、路灯的配置，基于要求进行车联网不同模式的选择及配置，了解C-V2X的具体应用原理。</w:t>
                  </w:r>
                </w:p>
                <w:p>
                  <w:pPr>
                    <w:pStyle w:val="null3"/>
                    <w:jc w:val="left"/>
                  </w:pPr>
                  <w:r>
                    <w:rPr>
                      <w:rFonts w:ascii="仿宋_GB2312" w:hAnsi="仿宋_GB2312" w:cs="仿宋_GB2312" w:eastAsia="仿宋_GB2312"/>
                      <w:sz w:val="20"/>
                      <w:color w:val="000000"/>
                    </w:rPr>
                    <w:t>▲25.支持车联网模式下按照要求进行防碰撞场景的搭建，涉及车载单元模块相关参数配置，对比V2V模式和V2N模式的差异，涉及通信接口，通信频段，进行车速的配置，支持校验功能，对车联网场景各参数配置，动态测试效果验证。</w:t>
                  </w:r>
                </w:p>
                <w:p>
                  <w:pPr>
                    <w:pStyle w:val="null3"/>
                    <w:jc w:val="left"/>
                  </w:pPr>
                  <w:r>
                    <w:rPr>
                      <w:rFonts w:ascii="仿宋_GB2312" w:hAnsi="仿宋_GB2312" w:cs="仿宋_GB2312" w:eastAsia="仿宋_GB2312"/>
                      <w:sz w:val="20"/>
                      <w:color w:val="000000"/>
                    </w:rPr>
                    <w:t>▲26.支持用户管理，为学生创建账号用于仿真平台的登录练习或考试，授权用户数大于等于300。</w:t>
                  </w:r>
                </w:p>
                <w:p>
                  <w:pPr>
                    <w:pStyle w:val="null3"/>
                    <w:jc w:val="left"/>
                  </w:pPr>
                  <w:r>
                    <w:rPr>
                      <w:rFonts w:ascii="仿宋_GB2312" w:hAnsi="仿宋_GB2312" w:cs="仿宋_GB2312" w:eastAsia="仿宋_GB2312"/>
                      <w:sz w:val="20"/>
                      <w:color w:val="000000"/>
                    </w:rPr>
                    <w:t>27.支持班级/组管理，为学生分配班级或组。</w:t>
                  </w:r>
                </w:p>
                <w:p>
                  <w:pPr>
                    <w:pStyle w:val="null3"/>
                    <w:jc w:val="left"/>
                  </w:pPr>
                  <w:r>
                    <w:rPr>
                      <w:rFonts w:ascii="仿宋_GB2312" w:hAnsi="仿宋_GB2312" w:cs="仿宋_GB2312" w:eastAsia="仿宋_GB2312"/>
                      <w:sz w:val="20"/>
                      <w:color w:val="000000"/>
                    </w:rPr>
                    <w:t>▲28.支持任务管理，按学生、班级/组以及模块下发练习或考试任务。</w:t>
                  </w:r>
                </w:p>
                <w:p>
                  <w:pPr>
                    <w:pStyle w:val="null3"/>
                    <w:jc w:val="left"/>
                  </w:pPr>
                  <w:r>
                    <w:rPr>
                      <w:rFonts w:ascii="仿宋_GB2312" w:hAnsi="仿宋_GB2312" w:cs="仿宋_GB2312" w:eastAsia="仿宋_GB2312"/>
                      <w:sz w:val="20"/>
                      <w:color w:val="000000"/>
                    </w:rPr>
                    <w:t>29.支持成绩查询，对学生的考试或练习成绩进行查询。</w:t>
                  </w:r>
                </w:p>
                <w:p>
                  <w:pPr>
                    <w:pStyle w:val="null3"/>
                    <w:jc w:val="left"/>
                  </w:pPr>
                  <w:r>
                    <w:rPr>
                      <w:rFonts w:ascii="仿宋_GB2312" w:hAnsi="仿宋_GB2312" w:cs="仿宋_GB2312" w:eastAsia="仿宋_GB2312"/>
                      <w:sz w:val="20"/>
                      <w:color w:val="000000"/>
                    </w:rPr>
                    <w:t>30.支持实验指导手册管理，实验手册分为学生版和教师版，学生版用于指导学生的实训操作，教师版对实训结果解析。</w:t>
                  </w:r>
                </w:p>
                <w:p>
                  <w:pPr>
                    <w:pStyle w:val="null3"/>
                    <w:jc w:val="left"/>
                  </w:pPr>
                  <w:r>
                    <w:rPr>
                      <w:rFonts w:ascii="仿宋_GB2312" w:hAnsi="仿宋_GB2312" w:cs="仿宋_GB2312" w:eastAsia="仿宋_GB2312"/>
                      <w:sz w:val="20"/>
                      <w:color w:val="000000"/>
                    </w:rPr>
                    <w:t>31.支持待处理/已完成操作，教师下发的任务，学生可登录账号查看自己的学习任务，在指定的时间内完成教学任务。</w:t>
                  </w:r>
                </w:p>
                <w:p>
                  <w:pPr>
                    <w:pStyle w:val="null3"/>
                    <w:jc w:val="left"/>
                  </w:pPr>
                  <w:r>
                    <w:rPr>
                      <w:rFonts w:ascii="仿宋_GB2312" w:hAnsi="仿宋_GB2312" w:cs="仿宋_GB2312" w:eastAsia="仿宋_GB2312"/>
                      <w:sz w:val="20"/>
                      <w:color w:val="000000"/>
                    </w:rPr>
                    <w:t>▲32.承诺无任何知识产权纠纷，需提供计算机软件著作权。</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9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承载设备</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仿真教学承载平台</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1.2U 机架式服务器，处理器CPU≥32核，内存≥64GB DDR4 内存。硬盘≥512GB SSD+2TB，须配置3.5 英寸或2.5 英寸硬盘，≥2个GE接口,配置双电源。</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293"/>
                  <w:vMerge/>
                  <w:tcBorders>
                    <w:top w:val="none" w:color="000000" w:sz="4"/>
                    <w:left w:val="none" w:color="000000" w:sz="4"/>
                    <w:bottom w:val="non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教学大屏</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1.支持双屏幕（32:9）及三屏幕（48:9）拼接展示，相邻两个屏幕间的拼接缝隙≤0.5mm。整机外观尺寸：宽≥1900mm，高≥1150mm，厚≤90mm；屏幕尺寸≥86英寸，分辨率≥3840×2160。</w:t>
                  </w:r>
                  <w:r>
                    <w:br/>
                  </w:r>
                  <w:r>
                    <w:rPr>
                      <w:rFonts w:ascii="仿宋_GB2312" w:hAnsi="仿宋_GB2312" w:cs="仿宋_GB2312" w:eastAsia="仿宋_GB2312"/>
                      <w:sz w:val="20"/>
                      <w:color w:val="000000"/>
                    </w:rPr>
                    <w:t>2.嵌入式系统版本≥Android 13，内存≥4GB，存储空间≥32GB。</w:t>
                  </w:r>
                  <w:r>
                    <w:br/>
                  </w:r>
                  <w:r>
                    <w:rPr>
                      <w:rFonts w:ascii="仿宋_GB2312" w:hAnsi="仿宋_GB2312" w:cs="仿宋_GB2312" w:eastAsia="仿宋_GB2312"/>
                      <w:sz w:val="20"/>
                      <w:color w:val="000000"/>
                    </w:rPr>
                    <w:t>3.支持全通道，支持4K界面显示。</w:t>
                  </w:r>
                </w:p>
                <w:p>
                  <w:pPr>
                    <w:pStyle w:val="null3"/>
                    <w:jc w:val="left"/>
                  </w:pPr>
                  <w:r>
                    <w:rPr>
                      <w:rFonts w:ascii="仿宋_GB2312" w:hAnsi="仿宋_GB2312" w:cs="仿宋_GB2312" w:eastAsia="仿宋_GB2312"/>
                      <w:sz w:val="20"/>
                      <w:color w:val="000000"/>
                    </w:rPr>
                    <w:t>4.支持Windows系统和Android系统中进行≥40点触控。</w:t>
                  </w:r>
                  <w:r>
                    <w:br/>
                  </w:r>
                  <w:r>
                    <w:rPr>
                      <w:rFonts w:ascii="仿宋_GB2312" w:hAnsi="仿宋_GB2312" w:cs="仿宋_GB2312" w:eastAsia="仿宋_GB2312"/>
                      <w:sz w:val="20"/>
                      <w:color w:val="000000"/>
                    </w:rPr>
                    <w:t>5.整机内置2.2声道扬声器，高音扬声器≥2个，中低音扬声器≥2个，额定总功率≥60W。内置阵列麦克风，拾音角度≥180°，可用于对教室环境音频进行采集，拾音距离≥12m。</w:t>
                  </w:r>
                  <w:r>
                    <w:br/>
                  </w:r>
                  <w:r>
                    <w:rPr>
                      <w:rFonts w:ascii="仿宋_GB2312" w:hAnsi="仿宋_GB2312" w:cs="仿宋_GB2312" w:eastAsia="仿宋_GB2312"/>
                      <w:sz w:val="20"/>
                      <w:color w:val="000000"/>
                    </w:rPr>
                    <w:t>6.整机无需外接无线网卡，在Android和Windows系统下可实现Wi-Fi无线上网连接、AP无线热点发射和BT蓝牙连接功能。 Wi-Fi和AP热点工作距离≥12m。</w:t>
                  </w:r>
                  <w:r>
                    <w:br/>
                  </w:r>
                  <w:r>
                    <w:rPr>
                      <w:rFonts w:ascii="仿宋_GB2312" w:hAnsi="仿宋_GB2312" w:cs="仿宋_GB2312" w:eastAsia="仿宋_GB2312"/>
                      <w:sz w:val="20"/>
                      <w:color w:val="000000"/>
                    </w:rPr>
                    <w:t>7.整机支持智能手机与整机在同一局域网内，可实现配对，一键投屏。</w:t>
                  </w:r>
                </w:p>
                <w:p>
                  <w:pPr>
                    <w:pStyle w:val="null3"/>
                    <w:jc w:val="left"/>
                  </w:pPr>
                  <w:r>
                    <w:rPr>
                      <w:rFonts w:ascii="仿宋_GB2312" w:hAnsi="仿宋_GB2312" w:cs="仿宋_GB2312" w:eastAsia="仿宋_GB2312"/>
                      <w:sz w:val="20"/>
                      <w:color w:val="000000"/>
                    </w:rPr>
                    <w:t>8.整机内置摄像头，像素值≥800 万。</w:t>
                  </w:r>
                  <w:r>
                    <w:br/>
                  </w:r>
                  <w:r>
                    <w:rPr>
                      <w:rFonts w:ascii="仿宋_GB2312" w:hAnsi="仿宋_GB2312" w:cs="仿宋_GB2312" w:eastAsia="仿宋_GB2312"/>
                      <w:sz w:val="20"/>
                      <w:color w:val="000000"/>
                    </w:rPr>
                    <w:t>▲9.内置广角高清摄像头，视场角≥150°，水平视场角≥135°，支持输出4:3、16:9比例的图片和视频；在清晰度为3840x2160分辨率下，支持≥30帧的视频输出。</w:t>
                  </w:r>
                  <w:r>
                    <w:br/>
                  </w:r>
                  <w:r>
                    <w:rPr>
                      <w:rFonts w:ascii="仿宋_GB2312" w:hAnsi="仿宋_GB2312" w:cs="仿宋_GB2312" w:eastAsia="仿宋_GB2312"/>
                      <w:sz w:val="20"/>
                      <w:color w:val="000000"/>
                    </w:rPr>
                    <w:t>10.内置电脑配置：≥Intel 酷睿系列i5CPU；运行内存≥8G；固态硬盘≥512GB。</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293"/>
                  <w:vMerge/>
                  <w:tcBorders>
                    <w:top w:val="none" w:color="000000" w:sz="4"/>
                    <w:left w:val="none" w:color="000000" w:sz="4"/>
                    <w:bottom w:val="non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双屏联动软件</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课件演示：支持同步演示，即支持多屏同步放映演示页同一页；支持上下页联动放映演示页，一块屏幕放映当前演示页面，其他屏幕分别放映前、后页白板：支持多屏共同作为一个画板,通过滑动画板实现板书和资源内容穿越屏幕展示。</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2.支持在双屏画布上展示 32:9比例，三屏画布上展示48:9比例的图片资源，支持通过画板移动缩放调整合适的演示尺寸。</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3.支持多屏设为拓展模式，一体化展示一张无限(无限滑动,没有边界)画板，支持滑动画板实现板书和资源内容穿越屏幕展示。</w:t>
                  </w:r>
                  <w:r>
                    <w:br/>
                  </w:r>
                  <w:r>
                    <w:rPr>
                      <w:rFonts w:ascii="仿宋_GB2312" w:hAnsi="仿宋_GB2312" w:cs="仿宋_GB2312" w:eastAsia="仿宋_GB2312"/>
                      <w:sz w:val="20"/>
                      <w:color w:val="000000"/>
                    </w:rPr>
                    <w:t>4.触控跟随：教师授课开始前，在所有屏幕均显示相同的开始授课界面，当教师在屏幕触发开始授课按钮后，自动选中该屏幕作为主讲屏。教师授课过程中，当教师通过点击任一屏幕时，工具栏会自动跟随教师的触控进行显示。</w:t>
                  </w:r>
                  <w:r>
                    <w:br/>
                  </w:r>
                  <w:r>
                    <w:rPr>
                      <w:rFonts w:ascii="仿宋_GB2312" w:hAnsi="仿宋_GB2312" w:cs="仿宋_GB2312" w:eastAsia="仿宋_GB2312"/>
                      <w:sz w:val="20"/>
                      <w:color w:val="000000"/>
                    </w:rPr>
                    <w:t>5.屏幕扩展：支持将文件、白板、通话、学生端投屏、小组研讨功能界面发送到扩展屏展示讲解，实现主屏切换课件、副屏辅助讲解的双线教学模式。</w:t>
                  </w:r>
                  <w:r>
                    <w:br/>
                  </w:r>
                  <w:r>
                    <w:rPr>
                      <w:rFonts w:ascii="仿宋_GB2312" w:hAnsi="仿宋_GB2312" w:cs="仿宋_GB2312" w:eastAsia="仿宋_GB2312"/>
                      <w:sz w:val="20"/>
                      <w:color w:val="000000"/>
                    </w:rPr>
                    <w:t>6.投屏：支持教师访问后台，将个人笔记本电脑的画面投送到教师授课端设备，学生端自动跟随演示画面；支持教师将授课端设备的系统桌面画面直接共享到学生端；共享过程中教师端可随时结束投屏共享；授课过程中，支持学生随时申请投屏，经老师同意后开始共享至其他学生端，学生自动跟随投屏人屏幕画面。</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w:t>
                  </w:r>
                </w:p>
              </w:tc>
              <w:tc>
                <w:tcPr>
                  <w:tcW w:type="dxa" w:w="29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广播投屏设备</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65英寸显示屏</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LED屏幕：≥ 65英寸，屏幕比例：16:9， HDMI接口数:≥2，带网络、USB、AV等接口，分辨率：3840*2160。支持加电自启。            </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w:t>
                  </w:r>
                </w:p>
              </w:tc>
              <w:tc>
                <w:tcPr>
                  <w:tcW w:type="dxa" w:w="2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扩音设备</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音频主机</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1.≥3.5英寸触控屏，≥4路MIC输入，≥2路立体声输入，≥2路立体声输出，≥1 个RS232接口，≥1 个RS485接口，≥2*120W功放输出；</w:t>
                  </w:r>
                  <w:r>
                    <w:br/>
                  </w:r>
                  <w:r>
                    <w:rPr>
                      <w:rFonts w:ascii="仿宋_GB2312" w:hAnsi="仿宋_GB2312" w:cs="仿宋_GB2312" w:eastAsia="仿宋_GB2312"/>
                      <w:sz w:val="20"/>
                      <w:color w:val="000000"/>
                    </w:rPr>
                    <w:t>2、内置音频AI处理芯片，具有音频采集、音频处理（反馈抑制、噪声抑制）、声压检测、自动调音等功能。</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w:t>
                  </w:r>
                </w:p>
              </w:tc>
              <w:tc>
                <w:tcPr>
                  <w:tcW w:type="dxa" w:w="293"/>
                  <w:vMerge/>
                  <w:tcBorders>
                    <w:top w:val="single" w:color="000000" w:sz="4"/>
                    <w:left w:val="none" w:color="000000" w:sz="4"/>
                    <w:bottom w:val="singl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阵列麦克风</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电容式，频率响应：</w:t>
                  </w:r>
                  <w:r>
                    <w:rPr>
                      <w:rFonts w:ascii="仿宋_GB2312" w:hAnsi="仿宋_GB2312" w:cs="仿宋_GB2312" w:eastAsia="仿宋_GB2312"/>
                      <w:sz w:val="20"/>
                      <w:color w:val="000000"/>
                    </w:rPr>
                    <w:t>80Hz—18000Hz，灵敏度≥-35dB，48V幻象电源供电，声压级≥135dB SPL，信噪比≥70dB;</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w:t>
                  </w:r>
                </w:p>
              </w:tc>
              <w:tc>
                <w:tcPr>
                  <w:tcW w:type="dxa" w:w="293"/>
                  <w:vMerge/>
                  <w:tcBorders>
                    <w:top w:val="single" w:color="000000" w:sz="4"/>
                    <w:left w:val="none" w:color="000000" w:sz="4"/>
                    <w:bottom w:val="singl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无源音箱</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2个，≥4英寸，阻抗≥8Ω，功率≥60W，灵敏度（1W/1m）≥85dB，声压级（1W/1m）：≥105dB，频率响应：110Hz~18kHz（±3dB），扩散角度：垂直≥40°，水平≥90°。</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1.高度规格：18U。</w:t>
                  </w:r>
                  <w:r>
                    <w:br/>
                  </w:r>
                  <w:r>
                    <w:rPr>
                      <w:rFonts w:ascii="仿宋_GB2312" w:hAnsi="仿宋_GB2312" w:cs="仿宋_GB2312" w:eastAsia="仿宋_GB2312"/>
                      <w:sz w:val="20"/>
                      <w:color w:val="000000"/>
                    </w:rPr>
                    <w:t>2.宽度与深度：匹配服务器、音频主机、交换机尺寸要求。</w:t>
                  </w:r>
                  <w:r>
                    <w:br/>
                  </w:r>
                  <w:r>
                    <w:rPr>
                      <w:rFonts w:ascii="仿宋_GB2312" w:hAnsi="仿宋_GB2312" w:cs="仿宋_GB2312" w:eastAsia="仿宋_GB2312"/>
                      <w:sz w:val="20"/>
                      <w:color w:val="000000"/>
                    </w:rPr>
                    <w:t>3.材质：主体采用优质冷轧钢板，厚度≥1.2mm。</w:t>
                  </w:r>
                  <w:r>
                    <w:br/>
                  </w:r>
                  <w:r>
                    <w:rPr>
                      <w:rFonts w:ascii="仿宋_GB2312" w:hAnsi="仿宋_GB2312" w:cs="仿宋_GB2312" w:eastAsia="仿宋_GB2312"/>
                      <w:sz w:val="20"/>
                      <w:color w:val="000000"/>
                    </w:rPr>
                    <w:t>4.承重能力：静态承重≥500kg。支持标准 19 英寸设备安装。</w:t>
                  </w:r>
                </w:p>
                <w:p>
                  <w:pPr>
                    <w:pStyle w:val="null3"/>
                    <w:jc w:val="left"/>
                  </w:pPr>
                  <w:r>
                    <w:rPr>
                      <w:rFonts w:ascii="仿宋_GB2312" w:hAnsi="仿宋_GB2312" w:cs="仿宋_GB2312" w:eastAsia="仿宋_GB2312"/>
                      <w:sz w:val="20"/>
                      <w:color w:val="000000"/>
                    </w:rPr>
                    <w:t>5.配备8位PDU1个，托盘2个。</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立式空调</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立式空调</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1.空调类型：柜机；</w:t>
                  </w:r>
                </w:p>
                <w:p>
                  <w:pPr>
                    <w:pStyle w:val="null3"/>
                    <w:jc w:val="left"/>
                  </w:pPr>
                  <w:r>
                    <w:rPr>
                      <w:rFonts w:ascii="仿宋_GB2312" w:hAnsi="仿宋_GB2312" w:cs="仿宋_GB2312" w:eastAsia="仿宋_GB2312"/>
                      <w:sz w:val="20"/>
                      <w:color w:val="000000"/>
                    </w:rPr>
                    <w:t>2.匹数：5 匹；</w:t>
                  </w:r>
                  <w:r>
                    <w:br/>
                  </w:r>
                  <w:r>
                    <w:rPr>
                      <w:rFonts w:ascii="仿宋_GB2312" w:hAnsi="仿宋_GB2312" w:cs="仿宋_GB2312" w:eastAsia="仿宋_GB2312"/>
                      <w:sz w:val="20"/>
                      <w:color w:val="000000"/>
                    </w:rPr>
                    <w:t>3.冷暖类型：冷暖型，变频，制热量：13820W(3500-15870),制冷量：12120W(3100-13110)；</w:t>
                  </w:r>
                  <w:r>
                    <w:br/>
                  </w:r>
                  <w:r>
                    <w:rPr>
                      <w:rFonts w:ascii="仿宋_GB2312" w:hAnsi="仿宋_GB2312" w:cs="仿宋_GB2312" w:eastAsia="仿宋_GB2312"/>
                      <w:sz w:val="20"/>
                      <w:color w:val="000000"/>
                    </w:rPr>
                    <w:t>4.能效等级：2级及以上；</w:t>
                  </w:r>
                </w:p>
                <w:p>
                  <w:pPr>
                    <w:pStyle w:val="null3"/>
                    <w:jc w:val="left"/>
                  </w:pPr>
                  <w:r>
                    <w:rPr>
                      <w:rFonts w:ascii="仿宋_GB2312" w:hAnsi="仿宋_GB2312" w:cs="仿宋_GB2312" w:eastAsia="仿宋_GB2312"/>
                      <w:sz w:val="20"/>
                      <w:color w:val="000000"/>
                    </w:rPr>
                    <w:t>★5.须提供节能产品认证证书。</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1.端口规格：≥24个千兆电口+2千兆光口</w:t>
                  </w:r>
                  <w:r>
                    <w:rPr>
                      <w:rFonts w:ascii="仿宋_GB2312" w:hAnsi="仿宋_GB2312" w:cs="仿宋_GB2312" w:eastAsia="仿宋_GB2312"/>
                      <w:sz w:val="21"/>
                    </w:rPr>
                    <w:t>，</w:t>
                  </w:r>
                  <w:r>
                    <w:rPr>
                      <w:rFonts w:ascii="仿宋_GB2312" w:hAnsi="仿宋_GB2312" w:cs="仿宋_GB2312" w:eastAsia="仿宋_GB2312"/>
                      <w:sz w:val="20"/>
                      <w:color w:val="000000"/>
                    </w:rPr>
                    <w:t>交换容量</w:t>
                  </w:r>
                  <w:r>
                    <w:rPr>
                      <w:rFonts w:ascii="仿宋_GB2312" w:hAnsi="仿宋_GB2312" w:cs="仿宋_GB2312" w:eastAsia="仿宋_GB2312"/>
                      <w:sz w:val="20"/>
                      <w:color w:val="000000"/>
                    </w:rPr>
                    <w:t>≥52Gbps，转发率≥38.7Mpps； 10/100/1000M 自适应 RJ45 端口，支持 POE + 供电。</w:t>
                  </w:r>
                </w:p>
                <w:p>
                  <w:pPr>
                    <w:pStyle w:val="null3"/>
                    <w:jc w:val="left"/>
                  </w:pPr>
                  <w:r>
                    <w:rPr>
                      <w:rFonts w:ascii="仿宋_GB2312" w:hAnsi="仿宋_GB2312" w:cs="仿宋_GB2312" w:eastAsia="仿宋_GB2312"/>
                      <w:sz w:val="20"/>
                      <w:color w:val="000000"/>
                    </w:rPr>
                    <w:t>2.POE 供电参数：整机支持≥190W POE 供电，单端口最大供电功率 30W。</w:t>
                  </w:r>
                </w:p>
                <w:p>
                  <w:pPr>
                    <w:pStyle w:val="null3"/>
                    <w:jc w:val="left"/>
                  </w:pPr>
                  <w:r>
                    <w:rPr>
                      <w:rFonts w:ascii="仿宋_GB2312" w:hAnsi="仿宋_GB2312" w:cs="仿宋_GB2312" w:eastAsia="仿宋_GB2312"/>
                      <w:sz w:val="20"/>
                      <w:color w:val="000000"/>
                    </w:rPr>
                    <w:t>3.传输速率：支持10/100/1000Mbit/s 传输速率，支持半双工、全双工、自协商工作模式。</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配置两台，防止</w:t>
                  </w:r>
                </w:p>
                <w:p>
                  <w:pPr>
                    <w:pStyle w:val="null3"/>
                    <w:jc w:val="left"/>
                  </w:pPr>
                  <w:r>
                    <w:rPr>
                      <w:rFonts w:ascii="仿宋_GB2312" w:hAnsi="仿宋_GB2312" w:cs="仿宋_GB2312" w:eastAsia="仿宋_GB2312"/>
                      <w:sz w:val="20"/>
                    </w:rPr>
                    <w:t>单台故障导致系统整体无法使用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智能实验柜</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智能实验柜</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一、硬件：</w:t>
                  </w:r>
                  <w:r>
                    <w:br/>
                  </w:r>
                  <w:r>
                    <w:rPr>
                      <w:rFonts w:ascii="仿宋_GB2312" w:hAnsi="仿宋_GB2312" w:cs="仿宋_GB2312" w:eastAsia="仿宋_GB2312"/>
                      <w:sz w:val="20"/>
                      <w:color w:val="000000"/>
                    </w:rPr>
                    <w:t>1、柜体材质：金属；自带≥10英寸液晶触控信息屏；</w:t>
                  </w:r>
                  <w:r>
                    <w:br/>
                  </w:r>
                  <w:r>
                    <w:rPr>
                      <w:rFonts w:ascii="仿宋_GB2312" w:hAnsi="仿宋_GB2312" w:cs="仿宋_GB2312" w:eastAsia="仿宋_GB2312"/>
                      <w:sz w:val="20"/>
                      <w:color w:val="000000"/>
                    </w:rPr>
                    <w:t>2、开柜方式：智能电锁，开锁弹开；</w:t>
                  </w:r>
                  <w:r>
                    <w:br/>
                  </w:r>
                  <w:r>
                    <w:rPr>
                      <w:rFonts w:ascii="仿宋_GB2312" w:hAnsi="仿宋_GB2312" w:cs="仿宋_GB2312" w:eastAsia="仿宋_GB2312"/>
                      <w:sz w:val="20"/>
                      <w:color w:val="000000"/>
                    </w:rPr>
                    <w:t>3、面板门：亚克力、玻璃可选；</w:t>
                  </w:r>
                  <w:r>
                    <w:br/>
                  </w:r>
                  <w:r>
                    <w:rPr>
                      <w:rFonts w:ascii="仿宋_GB2312" w:hAnsi="仿宋_GB2312" w:cs="仿宋_GB2312" w:eastAsia="仿宋_GB2312"/>
                      <w:sz w:val="20"/>
                      <w:color w:val="000000"/>
                    </w:rPr>
                    <w:t>4、借还方式：同时支持校园一卡通卡、二代居民身份证、帐号密码、扫码借还设备多种使用方式；</w:t>
                  </w:r>
                  <w:r>
                    <w:br/>
                  </w:r>
                  <w:r>
                    <w:rPr>
                      <w:rFonts w:ascii="仿宋_GB2312" w:hAnsi="仿宋_GB2312" w:cs="仿宋_GB2312" w:eastAsia="仿宋_GB2312"/>
                      <w:sz w:val="20"/>
                      <w:color w:val="000000"/>
                    </w:rPr>
                    <w:t>5、自助借还读写器：工作频率:13.56M，兼容校园一卡通卡、二代居民身份证；</w:t>
                  </w:r>
                  <w:r>
                    <w:br/>
                  </w:r>
                  <w:r>
                    <w:rPr>
                      <w:rFonts w:ascii="仿宋_GB2312" w:hAnsi="仿宋_GB2312" w:cs="仿宋_GB2312" w:eastAsia="仿宋_GB2312"/>
                      <w:sz w:val="20"/>
                      <w:color w:val="000000"/>
                    </w:rPr>
                    <w:t>6、工作模式：刷卡/帐号密码/扫码电动开柜取/还设备，关柜自动记录借/还设备信息；</w:t>
                  </w:r>
                  <w:r>
                    <w:br/>
                  </w:r>
                  <w:r>
                    <w:rPr>
                      <w:rFonts w:ascii="仿宋_GB2312" w:hAnsi="仿宋_GB2312" w:cs="仿宋_GB2312" w:eastAsia="仿宋_GB2312"/>
                      <w:sz w:val="20"/>
                      <w:color w:val="000000"/>
                    </w:rPr>
                    <w:t>7、平铺式/壁挂式天线，可按设备的标签的具体安装情况定制；</w:t>
                  </w:r>
                  <w:r>
                    <w:br/>
                  </w:r>
                  <w:r>
                    <w:rPr>
                      <w:rFonts w:ascii="仿宋_GB2312" w:hAnsi="仿宋_GB2312" w:cs="仿宋_GB2312" w:eastAsia="仿宋_GB2312"/>
                      <w:sz w:val="20"/>
                      <w:color w:val="000000"/>
                    </w:rPr>
                    <w:t>8、满足24小时自助借还使用要求，不受金属柜子屏蔽；不受近距离后排人员干扰，抗干扰能力强；</w:t>
                  </w:r>
                  <w:r>
                    <w:br/>
                  </w:r>
                  <w:r>
                    <w:rPr>
                      <w:rFonts w:ascii="仿宋_GB2312" w:hAnsi="仿宋_GB2312" w:cs="仿宋_GB2312" w:eastAsia="仿宋_GB2312"/>
                      <w:sz w:val="20"/>
                      <w:color w:val="000000"/>
                    </w:rPr>
                    <w:t>9、能实现对RFID设备标签非接触式识读，实时判断设备设备的借/还信息，并记录形成报表。</w:t>
                  </w:r>
                  <w:r>
                    <w:br/>
                  </w:r>
                  <w:r>
                    <w:rPr>
                      <w:rFonts w:ascii="仿宋_GB2312" w:hAnsi="仿宋_GB2312" w:cs="仿宋_GB2312" w:eastAsia="仿宋_GB2312"/>
                      <w:sz w:val="20"/>
                      <w:color w:val="000000"/>
                    </w:rPr>
                    <w:t>10、设备柜不需要安装屏蔽膜，精准区分每个设备所在柜格；</w:t>
                  </w:r>
                  <w:r>
                    <w:br/>
                  </w:r>
                  <w:r>
                    <w:rPr>
                      <w:rFonts w:ascii="仿宋_GB2312" w:hAnsi="仿宋_GB2312" w:cs="仿宋_GB2312" w:eastAsia="仿宋_GB2312"/>
                      <w:sz w:val="20"/>
                      <w:color w:val="000000"/>
                    </w:rPr>
                    <w:t>11、双开门 单柜4层，1000mm*600mm*1800mm；</w:t>
                  </w:r>
                  <w:r>
                    <w:br/>
                  </w:r>
                  <w:r>
                    <w:rPr>
                      <w:rFonts w:ascii="仿宋_GB2312" w:hAnsi="仿宋_GB2312" w:cs="仿宋_GB2312" w:eastAsia="仿宋_GB2312"/>
                      <w:sz w:val="20"/>
                      <w:color w:val="000000"/>
                    </w:rPr>
                    <w:t>二、软件：</w:t>
                  </w:r>
                  <w:r>
                    <w:br/>
                  </w:r>
                  <w:r>
                    <w:rPr>
                      <w:rFonts w:ascii="仿宋_GB2312" w:hAnsi="仿宋_GB2312" w:cs="仿宋_GB2312" w:eastAsia="仿宋_GB2312"/>
                      <w:sz w:val="20"/>
                      <w:color w:val="000000"/>
                    </w:rPr>
                    <w:t>1、通过软件在设备柜上就能实现设备信息录入功能；</w:t>
                  </w:r>
                  <w:r>
                    <w:br/>
                  </w:r>
                  <w:r>
                    <w:rPr>
                      <w:rFonts w:ascii="仿宋_GB2312" w:hAnsi="仿宋_GB2312" w:cs="仿宋_GB2312" w:eastAsia="仿宋_GB2312"/>
                      <w:sz w:val="20"/>
                      <w:color w:val="000000"/>
                    </w:rPr>
                    <w:t>2、实现智能实验室设备管理柜设备借取、归还、报修、盘点自助完成，信息自动后台数据更新；</w:t>
                  </w:r>
                  <w:r>
                    <w:br/>
                  </w:r>
                  <w:r>
                    <w:rPr>
                      <w:rFonts w:ascii="仿宋_GB2312" w:hAnsi="仿宋_GB2312" w:cs="仿宋_GB2312" w:eastAsia="仿宋_GB2312"/>
                      <w:sz w:val="20"/>
                      <w:color w:val="000000"/>
                    </w:rPr>
                    <w:t>3、实现实时监控设备，实时记录设备状态，可远程一键开柜；</w:t>
                  </w:r>
                  <w:r>
                    <w:br/>
                  </w:r>
                  <w:r>
                    <w:rPr>
                      <w:rFonts w:ascii="仿宋_GB2312" w:hAnsi="仿宋_GB2312" w:cs="仿宋_GB2312" w:eastAsia="仿宋_GB2312"/>
                      <w:sz w:val="20"/>
                      <w:color w:val="000000"/>
                    </w:rPr>
                    <w:t>4、实现实时盘点，盘点信息会通过网络传输到服务器的盘点界面；并可远程一键盘点清晰直观的了解盘点信息，显示实时管理柜设备库存数量，并通过管理系统的数据处理形成整个区域所有智能设备管理柜盘点结果；</w:t>
                  </w:r>
                  <w:r>
                    <w:br/>
                  </w:r>
                  <w:r>
                    <w:rPr>
                      <w:rFonts w:ascii="仿宋_GB2312" w:hAnsi="仿宋_GB2312" w:cs="仿宋_GB2312" w:eastAsia="仿宋_GB2312"/>
                      <w:sz w:val="20"/>
                      <w:color w:val="000000"/>
                    </w:rPr>
                    <w:t>5.实现智慧查找提醒，准确定位设备所在的柜内位置；</w:t>
                  </w:r>
                  <w:r>
                    <w:br/>
                  </w:r>
                  <w:r>
                    <w:rPr>
                      <w:rFonts w:ascii="仿宋_GB2312" w:hAnsi="仿宋_GB2312" w:cs="仿宋_GB2312" w:eastAsia="仿宋_GB2312"/>
                      <w:sz w:val="20"/>
                      <w:color w:val="000000"/>
                    </w:rPr>
                    <w:t>6、实现集中统计设备的借还数据；统计借取情况，接口实时监控、盘点功能，可为实现实验设备行为分析、了解学生实验兴趣、针对性引导兴趣等大数据分析功能提供数据；</w:t>
                  </w:r>
                  <w:r>
                    <w:br/>
                  </w:r>
                  <w:r>
                    <w:rPr>
                      <w:rFonts w:ascii="仿宋_GB2312" w:hAnsi="仿宋_GB2312" w:cs="仿宋_GB2312" w:eastAsia="仿宋_GB2312"/>
                      <w:sz w:val="20"/>
                      <w:color w:val="000000"/>
                    </w:rPr>
                    <w:t>7、支持设备柜区域内通借通还，多点借还；</w:t>
                  </w:r>
                  <w:r>
                    <w:br/>
                  </w:r>
                  <w:r>
                    <w:rPr>
                      <w:rFonts w:ascii="仿宋_GB2312" w:hAnsi="仿宋_GB2312" w:cs="仿宋_GB2312" w:eastAsia="仿宋_GB2312"/>
                      <w:sz w:val="20"/>
                      <w:color w:val="000000"/>
                    </w:rPr>
                    <w:t>8、有权限管理功能，可授权、冻结、开通借阅卡片、帐号、扫码手机号；</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311150" cy="53874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11150" cy="538740"/>
                                </a:xfrm>
                                <a:prstGeom prst="rect">
                                  <a:avLst/>
                                </a:prstGeom>
                              </pic:spPr>
                            </pic:pic>
                          </a:graphicData>
                        </a:graphic>
                      </wp:inline>
                    </w:drawing>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讲台</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讲台</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715*475*750-1050mm</w:t>
                  </w:r>
                  <w:r>
                    <w:br/>
                  </w:r>
                  <w:r>
                    <w:rPr>
                      <w:rFonts w:ascii="仿宋_GB2312" w:hAnsi="仿宋_GB2312" w:cs="仿宋_GB2312" w:eastAsia="仿宋_GB2312"/>
                      <w:sz w:val="20"/>
                      <w:color w:val="000000"/>
                    </w:rPr>
                    <w:t>桌面：一体成型圆弧桌面</w:t>
                  </w:r>
                  <w:r>
                    <w:rPr>
                      <w:rFonts w:ascii="仿宋_GB2312" w:hAnsi="仿宋_GB2312" w:cs="仿宋_GB2312" w:eastAsia="仿宋_GB2312"/>
                      <w:sz w:val="20"/>
                      <w:color w:val="000000"/>
                    </w:rPr>
                    <w:t>,内芯采用≥20mm E1级密度板，PVC吸塑，表面桌面配置有凹槽，可以放置手机、ipad、笔等物品，桌面参考尺寸：715*475*20mm</w:t>
                  </w:r>
                  <w:r>
                    <w:br/>
                  </w:r>
                  <w:r>
                    <w:rPr>
                      <w:rFonts w:ascii="仿宋_GB2312" w:hAnsi="仿宋_GB2312" w:cs="仿宋_GB2312" w:eastAsia="仿宋_GB2312"/>
                      <w:sz w:val="20"/>
                      <w:color w:val="000000"/>
                    </w:rPr>
                    <w:t>桌架：采用铝制五金铸造成型，桌子高度可自由调节，高度可调节范围</w:t>
                  </w:r>
                  <w:r>
                    <w:rPr>
                      <w:rFonts w:ascii="仿宋_GB2312" w:hAnsi="仿宋_GB2312" w:cs="仿宋_GB2312" w:eastAsia="仿宋_GB2312"/>
                      <w:sz w:val="20"/>
                      <w:color w:val="000000"/>
                    </w:rPr>
                    <w:t>/750-1050mm。</w:t>
                  </w:r>
                </w:p>
                <w:p>
                  <w:pPr>
                    <w:pStyle w:val="null3"/>
                    <w:jc w:val="left"/>
                  </w:pPr>
                  <w:r>
                    <w:rPr>
                      <w:rFonts w:ascii="仿宋_GB2312" w:hAnsi="仿宋_GB2312" w:cs="仿宋_GB2312" w:eastAsia="仿宋_GB2312"/>
                      <w:sz w:val="20"/>
                      <w:color w:val="000000"/>
                    </w:rPr>
                    <w:t>升降结构：一键式气动升降，桌面底部设有折叠开关。</w:t>
                  </w:r>
                  <w:r>
                    <w:br/>
                  </w:r>
                  <w:r>
                    <w:rPr>
                      <w:rFonts w:ascii="仿宋_GB2312" w:hAnsi="仿宋_GB2312" w:cs="仿宋_GB2312" w:eastAsia="仿宋_GB2312"/>
                      <w:sz w:val="20"/>
                      <w:color w:val="000000"/>
                    </w:rPr>
                    <w:t>底座：采用铝制五金铸造成型，配</w:t>
                  </w:r>
                  <w:r>
                    <w:rPr>
                      <w:rFonts w:ascii="仿宋_GB2312" w:hAnsi="仿宋_GB2312" w:cs="仿宋_GB2312" w:eastAsia="仿宋_GB2312"/>
                      <w:sz w:val="20"/>
                      <w:color w:val="000000"/>
                    </w:rPr>
                    <w:t>PU静音刹车轮</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311150" cy="32171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11150" cy="321713"/>
                                </a:xfrm>
                                <a:prstGeom prst="rect">
                                  <a:avLst/>
                                </a:prstGeom>
                              </pic:spPr>
                            </pic:pic>
                          </a:graphicData>
                        </a:graphic>
                      </wp:inline>
                    </w:drawing>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定制六边形操作台</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定制六边形操作台</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φ1600*750</w:t>
                  </w:r>
                </w:p>
                <w:p>
                  <w:pPr>
                    <w:pStyle w:val="null3"/>
                    <w:jc w:val="left"/>
                  </w:pPr>
                  <w:r>
                    <w:rPr>
                      <w:rFonts w:ascii="仿宋_GB2312" w:hAnsi="仿宋_GB2312" w:cs="仿宋_GB2312" w:eastAsia="仿宋_GB2312"/>
                      <w:sz w:val="20"/>
                      <w:color w:val="000000"/>
                    </w:rPr>
                    <w:t>基材要求：采用</w:t>
                  </w:r>
                  <w:r>
                    <w:rPr>
                      <w:rFonts w:ascii="仿宋_GB2312" w:hAnsi="仿宋_GB2312" w:cs="仿宋_GB2312" w:eastAsia="仿宋_GB2312"/>
                      <w:sz w:val="20"/>
                      <w:color w:val="000000"/>
                    </w:rPr>
                    <w:t>E1级三聚氰胺饰面板，桌面厚度：≥20mm。</w:t>
                  </w:r>
                </w:p>
                <w:p>
                  <w:pPr>
                    <w:pStyle w:val="null3"/>
                    <w:jc w:val="both"/>
                  </w:pPr>
                  <w:r>
                    <w:rPr>
                      <w:rFonts w:ascii="仿宋_GB2312" w:hAnsi="仿宋_GB2312" w:cs="仿宋_GB2312" w:eastAsia="仿宋_GB2312"/>
                      <w:sz w:val="20"/>
                    </w:rPr>
                    <w:t>桌腿：优质高精度一级冷轧钢板和钢管组合焊接成型，长脚管采用蛋形钢管</w:t>
                  </w:r>
                  <w:r>
                    <w:rPr>
                      <w:rFonts w:ascii="仿宋_GB2312" w:hAnsi="仿宋_GB2312" w:cs="仿宋_GB2312" w:eastAsia="仿宋_GB2312"/>
                      <w:sz w:val="20"/>
                    </w:rPr>
                    <w:t>561*60*30，壁厚≥1.2mm（不含喷涂厚度）</w:t>
                  </w:r>
                </w:p>
                <w:p>
                  <w:pPr>
                    <w:pStyle w:val="null3"/>
                    <w:jc w:val="left"/>
                  </w:pPr>
                  <w:r>
                    <w:rPr>
                      <w:rFonts w:ascii="仿宋_GB2312" w:hAnsi="仿宋_GB2312" w:cs="仿宋_GB2312" w:eastAsia="仿宋_GB2312"/>
                      <w:sz w:val="20"/>
                      <w:color w:val="000000"/>
                    </w:rPr>
                    <w:t>定制要求：每套桌子含</w:t>
                  </w:r>
                  <w:r>
                    <w:rPr>
                      <w:rFonts w:ascii="仿宋_GB2312" w:hAnsi="仿宋_GB2312" w:cs="仿宋_GB2312" w:eastAsia="仿宋_GB2312"/>
                      <w:sz w:val="20"/>
                      <w:color w:val="000000"/>
                    </w:rPr>
                    <w:t>6个五孔插座，6个网线口，每套桌子预留6个扩展口</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311150" cy="411012"/>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11150" cy="411012"/>
                                </a:xfrm>
                                <a:prstGeom prst="rect">
                                  <a:avLst/>
                                </a:prstGeom>
                              </pic:spPr>
                            </pic:pic>
                          </a:graphicData>
                        </a:graphic>
                      </wp:inline>
                    </w:drawing>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培训椅</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培训椅</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面料，采用网布面料；颜色可选，背架</w:t>
                  </w:r>
                  <w:r>
                    <w:rPr>
                      <w:rFonts w:ascii="仿宋_GB2312" w:hAnsi="仿宋_GB2312" w:cs="仿宋_GB2312" w:eastAsia="仿宋_GB2312"/>
                      <w:sz w:val="20"/>
                      <w:color w:val="000000"/>
                    </w:rPr>
                    <w:t>PA+30%玻纤；</w:t>
                  </w:r>
                  <w:r>
                    <w:br/>
                  </w:r>
                  <w:r>
                    <w:rPr>
                      <w:rFonts w:ascii="仿宋_GB2312" w:hAnsi="仿宋_GB2312" w:cs="仿宋_GB2312" w:eastAsia="仿宋_GB2312"/>
                      <w:sz w:val="20"/>
                      <w:color w:val="000000"/>
                    </w:rPr>
                    <w:t>2.辅料：采用≥45#高密度、高弹力定型海绵；</w:t>
                  </w:r>
                  <w:r>
                    <w:br/>
                  </w:r>
                  <w:r>
                    <w:rPr>
                      <w:rFonts w:ascii="仿宋_GB2312" w:hAnsi="仿宋_GB2312" w:cs="仿宋_GB2312" w:eastAsia="仿宋_GB2312"/>
                      <w:sz w:val="20"/>
                      <w:color w:val="000000"/>
                    </w:rPr>
                    <w:t>3.扶手：PA+玻纤扶手；架子：Q235碳素钢；</w:t>
                  </w:r>
                  <w:r>
                    <w:br/>
                  </w:r>
                  <w:r>
                    <w:rPr>
                      <w:rFonts w:ascii="仿宋_GB2312" w:hAnsi="仿宋_GB2312" w:cs="仿宋_GB2312" w:eastAsia="仿宋_GB2312"/>
                      <w:sz w:val="20"/>
                      <w:color w:val="000000"/>
                    </w:rPr>
                    <w:t xml:space="preserve">4.功能：座板可翻起、可全折叠；5.参考尺寸：L610*W555*H835；             </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311150" cy="400534"/>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10"/>
                                <a:stretch>
                                  <a:fillRect/>
                                </a:stretch>
                              </pic:blipFill>
                              <pic:spPr>
                                <a:xfrm>
                                  <a:off x="0" y="0"/>
                                  <a:ext cx="311150" cy="400534"/>
                                </a:xfrm>
                                <a:prstGeom prst="rect">
                                  <a:avLst/>
                                </a:prstGeom>
                              </pic:spPr>
                            </pic:pic>
                          </a:graphicData>
                        </a:graphic>
                      </wp:inline>
                    </w:drawing>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防盗门</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防盗门</w:t>
                  </w: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包含智能门锁：</w:t>
                  </w:r>
                  <w:r>
                    <w:br/>
                  </w:r>
                  <w:r>
                    <w:rPr>
                      <w:rFonts w:ascii="仿宋_GB2312" w:hAnsi="仿宋_GB2312" w:cs="仿宋_GB2312" w:eastAsia="仿宋_GB2312"/>
                      <w:sz w:val="20"/>
                      <w:color w:val="000000"/>
                    </w:rPr>
                    <w:t>开锁方式：手机、指纹、人脸、密码、临时密码、智能卡、机械钥匙。</w:t>
                  </w:r>
                  <w:r>
                    <w:br/>
                  </w:r>
                  <w:r>
                    <w:rPr>
                      <w:rFonts w:ascii="仿宋_GB2312" w:hAnsi="仿宋_GB2312" w:cs="仿宋_GB2312" w:eastAsia="仿宋_GB2312"/>
                      <w:sz w:val="20"/>
                      <w:color w:val="000000"/>
                    </w:rPr>
                    <w:t>锁体类型：电子锁体，三防精钢锁体，防强磁干扰。</w:t>
                  </w:r>
                </w:p>
                <w:p>
                  <w:pPr>
                    <w:pStyle w:val="null3"/>
                    <w:jc w:val="left"/>
                  </w:pPr>
                  <w:r>
                    <w:rPr>
                      <w:rFonts w:ascii="仿宋_GB2312" w:hAnsi="仿宋_GB2312" w:cs="仿宋_GB2312" w:eastAsia="仿宋_GB2312"/>
                      <w:sz w:val="20"/>
                      <w:color w:val="000000"/>
                    </w:rPr>
                    <w:t>锁芯等级：</w:t>
                  </w:r>
                  <w:r>
                    <w:rPr>
                      <w:rFonts w:ascii="仿宋_GB2312" w:hAnsi="仿宋_GB2312" w:cs="仿宋_GB2312" w:eastAsia="仿宋_GB2312"/>
                      <w:sz w:val="20"/>
                      <w:color w:val="000000"/>
                    </w:rPr>
                    <w:t>C 级。</w:t>
                  </w:r>
                </w:p>
                <w:p>
                  <w:pPr>
                    <w:pStyle w:val="null3"/>
                    <w:jc w:val="left"/>
                  </w:pPr>
                  <w:r>
                    <w:rPr>
                      <w:rFonts w:ascii="仿宋_GB2312" w:hAnsi="仿宋_GB2312" w:cs="仿宋_GB2312" w:eastAsia="仿宋_GB2312"/>
                      <w:sz w:val="20"/>
                      <w:color w:val="000000"/>
                    </w:rPr>
                    <w:t>连接方式：支持</w:t>
                  </w:r>
                  <w:r>
                    <w:rPr>
                      <w:rFonts w:ascii="仿宋_GB2312" w:hAnsi="仿宋_GB2312" w:cs="仿宋_GB2312" w:eastAsia="仿宋_GB2312"/>
                      <w:sz w:val="20"/>
                      <w:color w:val="000000"/>
                    </w:rPr>
                    <w:t>2.4GHz Wi-Fi 连接。</w:t>
                  </w:r>
                  <w:r>
                    <w:br/>
                  </w:r>
                  <w:r>
                    <w:rPr>
                      <w:rFonts w:ascii="仿宋_GB2312" w:hAnsi="仿宋_GB2312" w:cs="仿宋_GB2312" w:eastAsia="仿宋_GB2312"/>
                      <w:sz w:val="20"/>
                      <w:color w:val="000000"/>
                    </w:rPr>
                    <w:t>应急电源接口：</w:t>
                  </w:r>
                  <w:r>
                    <w:rPr>
                      <w:rFonts w:ascii="仿宋_GB2312" w:hAnsi="仿宋_GB2312" w:cs="仿宋_GB2312" w:eastAsia="仿宋_GB2312"/>
                      <w:sz w:val="20"/>
                      <w:color w:val="000000"/>
                    </w:rPr>
                    <w:t>Type-C 接口。</w:t>
                  </w:r>
                  <w:r>
                    <w:br/>
                  </w:r>
                  <w:r>
                    <w:rPr>
                      <w:rFonts w:ascii="仿宋_GB2312" w:hAnsi="仿宋_GB2312" w:cs="仿宋_GB2312" w:eastAsia="仿宋_GB2312"/>
                      <w:sz w:val="20"/>
                      <w:color w:val="000000"/>
                    </w:rPr>
                    <w:t>防盗门板材：锌合金</w:t>
                  </w:r>
                  <w:r>
                    <w:rPr>
                      <w:rFonts w:ascii="仿宋_GB2312" w:hAnsi="仿宋_GB2312" w:cs="仿宋_GB2312" w:eastAsia="仿宋_GB2312"/>
                      <w:sz w:val="20"/>
                      <w:color w:val="000000"/>
                    </w:rPr>
                    <w:t>门面板材</w:t>
                  </w:r>
                  <w:r>
                    <w:rPr>
                      <w:rFonts w:ascii="仿宋_GB2312" w:hAnsi="仿宋_GB2312" w:cs="仿宋_GB2312" w:eastAsia="仿宋_GB2312"/>
                      <w:sz w:val="20"/>
                      <w:color w:val="000000"/>
                    </w:rPr>
                    <w:t>≥0.8mm，门框板材≥1.8mm。漆面：专用烤漆，</w:t>
                  </w:r>
                </w:p>
                <w:p>
                  <w:pPr>
                    <w:pStyle w:val="null3"/>
                    <w:jc w:val="left"/>
                  </w:pPr>
                  <w:r>
                    <w:rPr>
                      <w:rFonts w:ascii="仿宋_GB2312" w:hAnsi="仿宋_GB2312" w:cs="仿宋_GB2312" w:eastAsia="仿宋_GB2312"/>
                      <w:sz w:val="20"/>
                      <w:color w:val="000000"/>
                    </w:rPr>
                    <w:t>尺寸：门宽约</w:t>
                  </w:r>
                  <w:r>
                    <w:rPr>
                      <w:rFonts w:ascii="仿宋_GB2312" w:hAnsi="仿宋_GB2312" w:cs="仿宋_GB2312" w:eastAsia="仿宋_GB2312"/>
                      <w:sz w:val="20"/>
                      <w:color w:val="000000"/>
                    </w:rPr>
                    <w:t>1.5米，高约2米</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311150" cy="44227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1"/>
                                <a:stretch>
                                  <a:fillRect/>
                                </a:stretch>
                              </pic:blipFill>
                              <pic:spPr>
                                <a:xfrm>
                                  <a:off x="0" y="0"/>
                                  <a:ext cx="311150" cy="442270"/>
                                </a:xfrm>
                                <a:prstGeom prst="rect">
                                  <a:avLst/>
                                </a:prstGeom>
                              </pic:spPr>
                            </pic:pic>
                          </a:graphicData>
                        </a:graphic>
                      </wp:inline>
                    </w:drawing>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教室改造</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1.改造墙内原有线路不动，增加明装线槽及明装墙插（约123.5㎡）；</w:t>
                  </w:r>
                  <w:r>
                    <w:br/>
                  </w:r>
                  <w:r>
                    <w:rPr>
                      <w:rFonts w:ascii="仿宋_GB2312" w:hAnsi="仿宋_GB2312" w:cs="仿宋_GB2312" w:eastAsia="仿宋_GB2312"/>
                      <w:sz w:val="20"/>
                      <w:color w:val="000000"/>
                    </w:rPr>
                    <w:t>2.改造及部署含国标六类网线（约123.5㎡）。</w:t>
                  </w:r>
                </w:p>
                <w:p>
                  <w:pPr>
                    <w:pStyle w:val="null3"/>
                    <w:jc w:val="left"/>
                  </w:pPr>
                  <w:r>
                    <w:rPr>
                      <w:rFonts w:ascii="仿宋_GB2312" w:hAnsi="仿宋_GB2312" w:cs="仿宋_GB2312" w:eastAsia="仿宋_GB2312"/>
                      <w:sz w:val="20"/>
                    </w:rPr>
                    <w:t>3.教室面积123.5㎡，墙面开裂、脱落部分需要重新挂网粉刷打磨，整体乳胶漆两遍。</w:t>
                  </w:r>
                </w:p>
                <w:p>
                  <w:pPr>
                    <w:pStyle w:val="null3"/>
                    <w:jc w:val="left"/>
                  </w:pPr>
                  <w:r>
                    <w:rPr>
                      <w:rFonts w:ascii="仿宋_GB2312" w:hAnsi="仿宋_GB2312" w:cs="仿宋_GB2312" w:eastAsia="仿宋_GB2312"/>
                      <w:sz w:val="20"/>
                    </w:rPr>
                    <w:t>4.成品保护及卫生保洁约123.5㎡。</w:t>
                  </w:r>
                </w:p>
                <w:p>
                  <w:pPr>
                    <w:pStyle w:val="null3"/>
                    <w:jc w:val="left"/>
                  </w:pPr>
                  <w:r>
                    <w:rPr>
                      <w:rFonts w:ascii="仿宋_GB2312" w:hAnsi="仿宋_GB2312" w:cs="仿宋_GB2312" w:eastAsia="仿宋_GB2312"/>
                      <w:sz w:val="20"/>
                    </w:rPr>
                    <w:t>5.配1200*300LED平板灯≥16个，功率≥36瓦。</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 90 日历日内到货并全部安装调试合格完毕。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合同生效后，乙方按合同履约完成，经甲方验收合格，乙方需提供合同总金额发票，验收入库资料</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由甲方组织实施。（2）甲方根据合同要求对货物进行验收，确认货物的产地、规格、型号和数量。如果有必要可通采购代理机构并邀请有关专家验收。（3）终验合格后以合同、货物验收单、发票复印件作为资产入账依据，及时登记入册。（4）验收依据：①招标文件、响应文件、澄清表（函）；②本合同及附件文本；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免费保修期：按国家有关产品“三包”规定执行“三包”，硬件、软件免费保修期最短不得少于两年。（2）免费保修期内免费上门维修（免收维修费和元器件费）、免费更换零部件，并提供终身维修服务。（3）技术服务应在接到通知后4小时到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售后服务要求：（1）免费送货上门，免费按采购人要求安装调试，免费技术培训，直至操作人员熟练操作产品的各项功能。（2）免费保修期内接到报障电话在承诺时间内派工程技术人员上门维修解决问题，如果需要更换配件的，要求更换的配件应跟被更换的品牌、类型相一致或者是同类同档次的替代品，后者需征得用户方管理人员同意。（4）若产品自带软件的，则须提供免费保修期内免费升级服务。 3.5.2为顺利推进政府采购电子化交易平台应用工作，供应商需要在线提交所有通过电子化交易平台实施的政府采购项目的投标文件，同时，线下提交投标文件叁份，纸质投标文件建议A4纸双面打印，装订成册并编制目录和页码，密封并加盖公章。邮寄或现场提交均可。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3附件（授权、书面声明、承诺）.docx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2024年09月至投标文件递交截止日已缴存的任意一个月的社会保障资金缴存单据或社保机构开具的社会保险参保缴费情况证明，依法不需要缴纳社会保障资金的投标人应提供相关文件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2024年09月至投标文件递交截止日已缴存的任意一个月的纳税证明或完税证明，纳税证明或完税证明上应有代收机构或税务机关的公章，依法免税的投标人应提供相关文件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3附件（授权、书面声明、承诺）.docx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3附件（授权、书面声明、承诺）.docx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开标一览表 1分项报价表.docx 中小企业声明函 商务应答表 2相关方案及业绩.docx 投标人应提交的相关资格证明材料 产品技术参数表 3附件（授权、书面声明、承诺）.docx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开标一览表 1分项报价表.docx 中小企业声明函 商务应答表 2相关方案及业绩.docx 投标人应提交的相关资格证明材料 产品技术参数表 3附件（授权、书面声明、承诺）.docx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w:t>
            </w:r>
          </w:p>
        </w:tc>
        <w:tc>
          <w:tcPr>
            <w:tcW w:type="dxa" w:w="1661"/>
          </w:tcPr>
          <w:p>
            <w:pPr>
              <w:pStyle w:val="null3"/>
            </w:pPr>
            <w:r>
              <w:rPr>
                <w:rFonts w:ascii="仿宋_GB2312" w:hAnsi="仿宋_GB2312" w:cs="仿宋_GB2312" w:eastAsia="仿宋_GB2312"/>
              </w:rPr>
              <w:t>开标一览表 1分项报价表.docx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商务、技术要求是否满足实质性要求</w:t>
            </w:r>
          </w:p>
        </w:tc>
        <w:tc>
          <w:tcPr>
            <w:tcW w:type="dxa" w:w="3322"/>
          </w:tcPr>
          <w:p>
            <w:pPr>
              <w:pStyle w:val="null3"/>
            </w:pPr>
            <w:r>
              <w:rPr>
                <w:rFonts w:ascii="仿宋_GB2312" w:hAnsi="仿宋_GB2312" w:cs="仿宋_GB2312" w:eastAsia="仿宋_GB2312"/>
              </w:rPr>
              <w:t>商务、技术要求是否满足实质性要求的（供货期大于招标要求、质保期小于招标要求、付款方式不满足招标要求等）</w:t>
            </w:r>
          </w:p>
        </w:tc>
        <w:tc>
          <w:tcPr>
            <w:tcW w:type="dxa" w:w="1661"/>
          </w:tcPr>
          <w:p>
            <w:pPr>
              <w:pStyle w:val="null3"/>
            </w:pPr>
            <w:r>
              <w:rPr>
                <w:rFonts w:ascii="仿宋_GB2312" w:hAnsi="仿宋_GB2312" w:cs="仿宋_GB2312" w:eastAsia="仿宋_GB2312"/>
              </w:rPr>
              <w:t>开标一览表 1分项报价表.docx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投标产品技术参数完全符合招标文件要求，没有负偏离的得35分，参数中每有一条技术指标负偏离扣1分，加“▲”参数每有一条技术指标负偏离扣2分，扣完为止。满分35分。 注：加“▲”参数投标供应商须提供相关技术参数佐证材料（佐证材料包括但不限于：产品彩页、检测报告、官网截图 等证明材料，佐证材料须包含产品的技术参数，并按要求放入投标文件中）予以证明其技术参数的响应性。供应商自行承担因证明材料不全而被视为技术参数偏离的险。要求提供佐证材料以佐证材料为准，不提供的按负偏离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2相关方案及业绩.docx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 8分） 设备选型：每完全满足一个评审标准得2分，满分8分；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2相关方案及业绩.docx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供应商需提供科学、完整、合理、规范的实施方案及措施。内容包含：①项目实施方案计划②进度保证措施③人员配置方案④供货、安装、调试方案、验收措施。 二、评审标准 1、完整性：方案须全面，对评审内容中的各项要求描述详细； 2、可实施性：切合本项目实际情况，实施步骤清晰、合理； 3、针对性：方案能够紧扣项目实际情况，内容科学合理。 三、赋分依据（满分6分） ①项目实施方案计划：每完全满足一个评审标准得0.5分，满分1.5分； ②进度保证措施:每完全满足一个评审标准得0.5分，满分1.5分； ③人员配置方案:每完全满足一个评审标准得0.5分，满分1.5分； ④供货、安装、调试方案、验收：每完全满足一个评审标准得0.5分，满分1.5分。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2相关方案及业绩.docx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根据项目实际需求提供售后服务方案。内容包含：①售后服务范围及保障措施②响应时间③故障处理及补救措施④定期回访及维护。 二、评审标准 1.完整性：方案须全面，对评审内容中的各项要求有详细描述； 2.可实施性：切合本项目实际情况，提出步骤清晰、合理的方案； 3.针对性：方案能够紧扣项目实际情况，内容科学合理。 三、赋分依据（满分9分） ①售后服务范围及保障措施：每完全满足一个评审标准得1分，满分3分； ②响应时间:每完全满足一个评审标准得1分，满分3分； ③故障处理及补救措施:每完全满足一个评审标准得0.5分，满分1.5分； ④定期回访及维护：完全满足一个评审标准得0.5分，满分1.5分。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2相关方案及业绩.docx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投标人针对本项目提供①培训方案②培训人员及时间安排。 二、评审标准： 1、完整性：方案须全面，对评审内容中的各项要求描述详细； 2、可实施性、合理性：切合本项目实际情况，实施步骤清晰、合理； 三、赋分依据（满分4分）： ①培训方案：每完全满足一项评审标准得1分，满分2分；②培训人员及时间安排：每完全满足一项评审标准得1分，满分2分；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2相关方案及业绩.docx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投标人提供自2022年1月1日起（以合同签订日为准）至今承担过类似业绩，每提供1个业绩合同得2分，最高得8分。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2相关方案及业绩.docx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1分项报价表.docx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详见附件：2相关方案及业绩.docx</w:t>
      </w:r>
    </w:p>
    <w:p>
      <w:pPr>
        <w:pStyle w:val="null3"/>
        <w:ind w:firstLine="960"/>
      </w:pPr>
      <w:r>
        <w:rPr>
          <w:rFonts w:ascii="仿宋_GB2312" w:hAnsi="仿宋_GB2312" w:cs="仿宋_GB2312" w:eastAsia="仿宋_GB2312"/>
        </w:rPr>
        <w:t>详见附件：3附件（授权、书面声明、承诺）.docx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4.png" Type="http://schemas.openxmlformats.org/officeDocument/2006/relationships/image"/><Relationship Id="rId11" Target="media/image5.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