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版本号：SZT2025-SN-SC-ZC-HW-078320250924001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立体扫描式激光气体遥测仪采购项目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SZT2025-SN-SC-ZC-HW-0783</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立体扫描式激光气体遥测仪采购项目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立体扫描式激光气体遥测仪采购项目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能实现单组分或者多组分气体立体扫描式分析功能，用于热动力灾害救援过程中救援关键气体与生命特征气味测量的精度、稳定性、灵敏度和多功能性的基础性实验，其能够实现对微量气体的快速检测，检测限度达到ppb级别，检测响应时间缩短至1秒以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采购包1（立体扫描式激光气体遥测仪采购项目）：属于专门面向中小企业采购。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说明：供应商中标后凭成交通知书向采购人缴纳中标金额的5%作为履约保证金，验收合格支付货款后，5%履约保证金无质量问题一次性无息退还。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的0.775折收取，并且前期论证1次，费用2125元，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能实现单组分或者多组分气体立体扫描式分析功能，用于热动力灾害救援过程中救援关键气体与生命特征气味测量的精度、稳定性、灵敏度和多功能性的基础性实验，其能够实现对微量气体的快速检测，检测限度达到ppb级别，检测响应时间缩短至1秒以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立体扫描式激光气体遥测仪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标的名称：立体扫描式激光气体遥测仪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数量：1套</w:t>
            </w:r>
          </w:p>
          <w:p>
            <w:pPr>
              <w:pStyle w:val="null3"/>
              <w:jc w:val="both"/>
            </w:pPr>
            <w:r>
              <w:rPr>
                <w:rFonts w:ascii="仿宋_GB2312" w:hAnsi="仿宋_GB2312" w:cs="仿宋_GB2312" w:eastAsia="仿宋_GB2312"/>
              </w:rPr>
              <w:t>一、技术参数</w:t>
            </w:r>
          </w:p>
          <w:p>
            <w:pPr>
              <w:pStyle w:val="null3"/>
            </w:pPr>
            <w:r>
              <w:rPr>
                <w:rFonts w:ascii="仿宋_GB2312" w:hAnsi="仿宋_GB2312" w:cs="仿宋_GB2312" w:eastAsia="仿宋_GB2312"/>
              </w:rPr>
              <w:t>1、量子级联激光驱动模组：</w:t>
            </w:r>
          </w:p>
          <w:p>
            <w:pPr>
              <w:pStyle w:val="null3"/>
            </w:pPr>
            <w:r>
              <w:rPr>
                <w:rFonts w:ascii="仿宋_GB2312" w:hAnsi="仿宋_GB2312" w:cs="仿宋_GB2312" w:eastAsia="仿宋_GB2312"/>
              </w:rPr>
              <w:t>1.1输出极低光干涉条纹准直光束，集成半导体TEC制冷；</w:t>
            </w:r>
          </w:p>
          <w:p>
            <w:pPr>
              <w:pStyle w:val="null3"/>
            </w:pPr>
            <w:r>
              <w:rPr>
                <w:rFonts w:ascii="仿宋_GB2312" w:hAnsi="仿宋_GB2312" w:cs="仿宋_GB2312" w:eastAsia="仿宋_GB2312"/>
              </w:rPr>
              <w:t>▲1.2波长在0.80-2.65µm和3-12µm范围内，波长控制精度≤2nm。</w:t>
            </w:r>
          </w:p>
          <w:p>
            <w:pPr>
              <w:pStyle w:val="null3"/>
            </w:pPr>
            <w:r>
              <w:rPr>
                <w:rFonts w:ascii="仿宋_GB2312" w:hAnsi="仿宋_GB2312" w:cs="仿宋_GB2312" w:eastAsia="仿宋_GB2312"/>
              </w:rPr>
              <w:t>1.3散热功率≥20W，输出光功率≥100mW。</w:t>
            </w:r>
          </w:p>
          <w:p>
            <w:pPr>
              <w:pStyle w:val="null3"/>
            </w:pPr>
            <w:r>
              <w:rPr>
                <w:rFonts w:ascii="仿宋_GB2312" w:hAnsi="仿宋_GB2312" w:cs="仿宋_GB2312" w:eastAsia="仿宋_GB2312"/>
              </w:rPr>
              <w:t>▲1.4提供所有激光器的准直器。</w:t>
            </w:r>
          </w:p>
          <w:p>
            <w:pPr>
              <w:pStyle w:val="null3"/>
            </w:pPr>
            <w:r>
              <w:rPr>
                <w:rFonts w:ascii="仿宋_GB2312" w:hAnsi="仿宋_GB2312" w:cs="仿宋_GB2312" w:eastAsia="仿宋_GB2312"/>
              </w:rPr>
              <w:t>2、量子级联激光驱动模组：输出激光质量可被检测，配模组光纤端面检测模组，分辨率≤0.75μm，放大倍数200x，精度≤0.01mm，工作温度-10℃~50℃。</w:t>
            </w:r>
          </w:p>
          <w:p>
            <w:pPr>
              <w:pStyle w:val="null3"/>
            </w:pPr>
            <w:r>
              <w:rPr>
                <w:rFonts w:ascii="仿宋_GB2312" w:hAnsi="仿宋_GB2312" w:cs="仿宋_GB2312" w:eastAsia="仿宋_GB2312"/>
              </w:rPr>
              <w:t>3、可调电源: 双通道，输出功率≥300W;输出电压≥30V，分辨率≤100mV;输出电流≥10A，分辨率≤10mA。</w:t>
            </w:r>
          </w:p>
          <w:p>
            <w:pPr>
              <w:pStyle w:val="null3"/>
            </w:pPr>
            <w:r>
              <w:rPr>
                <w:rFonts w:ascii="仿宋_GB2312" w:hAnsi="仿宋_GB2312" w:cs="仿宋_GB2312" w:eastAsia="仿宋_GB2312"/>
              </w:rPr>
              <w:t>4、激光控制系统:</w:t>
            </w:r>
          </w:p>
          <w:p>
            <w:pPr>
              <w:pStyle w:val="null3"/>
            </w:pPr>
            <w:r>
              <w:rPr>
                <w:rFonts w:ascii="仿宋_GB2312" w:hAnsi="仿宋_GB2312" w:cs="仿宋_GB2312" w:eastAsia="仿宋_GB2312"/>
              </w:rPr>
              <w:t>▲4.1电流控制范围0~1000mA，精度≤（±0.1%量程和500μA）取最小;</w:t>
            </w:r>
          </w:p>
          <w:p>
            <w:pPr>
              <w:pStyle w:val="null3"/>
            </w:pPr>
            <w:r>
              <w:rPr>
                <w:rFonts w:ascii="仿宋_GB2312" w:hAnsi="仿宋_GB2312" w:cs="仿宋_GB2312" w:eastAsia="仿宋_GB2312"/>
              </w:rPr>
              <w:t>4.2配有光学气体吸收池，具有≥40米光程气体吸收池;</w:t>
            </w:r>
          </w:p>
          <w:p>
            <w:pPr>
              <w:pStyle w:val="null3"/>
            </w:pPr>
            <w:r>
              <w:rPr>
                <w:rFonts w:ascii="仿宋_GB2312" w:hAnsi="仿宋_GB2312" w:cs="仿宋_GB2312" w:eastAsia="仿宋_GB2312"/>
              </w:rPr>
              <w:t>▲4.3工控机配置有上位机软件，软件具备对电流和温度控制、波长扫描与锁定、谐波幅度调节、数据采集与导出等功能，通过软件可实现1f、2f和3f谐波精度的控制，1f、2f、3f调谐相位角度≤1°，积分时间≤1kHz，配置参考气室。</w:t>
            </w:r>
          </w:p>
          <w:p>
            <w:pPr>
              <w:pStyle w:val="null3"/>
            </w:pPr>
            <w:r>
              <w:rPr>
                <w:rFonts w:ascii="仿宋_GB2312" w:hAnsi="仿宋_GB2312" w:cs="仿宋_GB2312" w:eastAsia="仿宋_GB2312"/>
              </w:rPr>
              <w:t>5、配气模组:</w:t>
            </w:r>
          </w:p>
          <w:p>
            <w:pPr>
              <w:pStyle w:val="null3"/>
            </w:pPr>
            <w:r>
              <w:rPr>
                <w:rFonts w:ascii="仿宋_GB2312" w:hAnsi="仿宋_GB2312" w:cs="仿宋_GB2312" w:eastAsia="仿宋_GB2312"/>
              </w:rPr>
              <w:t>▲5.1配气组分≥4种，即≥4路输入，≥1路输出；</w:t>
            </w:r>
          </w:p>
          <w:p>
            <w:pPr>
              <w:pStyle w:val="null3"/>
            </w:pPr>
            <w:r>
              <w:rPr>
                <w:rFonts w:ascii="仿宋_GB2312" w:hAnsi="仿宋_GB2312" w:cs="仿宋_GB2312" w:eastAsia="仿宋_GB2312"/>
              </w:rPr>
              <w:t>▲5.2最大稀释倍数≥200:1，最大输出流量≥2000mL/h；</w:t>
            </w:r>
          </w:p>
          <w:p>
            <w:pPr>
              <w:pStyle w:val="null3"/>
            </w:pPr>
            <w:r>
              <w:rPr>
                <w:rFonts w:ascii="仿宋_GB2312" w:hAnsi="仿宋_GB2312" w:cs="仿宋_GB2312" w:eastAsia="仿宋_GB2312"/>
              </w:rPr>
              <w:t>▲5.3每输入气路均配有流量计和节流阀，流量计的测量范围0-2000mL，精度≤±1%：最大输出流量≥2000mL/h，</w:t>
            </w:r>
          </w:p>
          <w:p>
            <w:pPr>
              <w:pStyle w:val="null3"/>
            </w:pPr>
            <w:r>
              <w:rPr>
                <w:rFonts w:ascii="仿宋_GB2312" w:hAnsi="仿宋_GB2312" w:cs="仿宋_GB2312" w:eastAsia="仿宋_GB2312"/>
              </w:rPr>
              <w:t>5.4不确定度≤±1%，流量重复性≤0.5%，流量线性误差≤±0.3%，节流阀额定压力≥0.07MPa。</w:t>
            </w:r>
          </w:p>
          <w:p>
            <w:pPr>
              <w:pStyle w:val="null3"/>
            </w:pPr>
            <w:r>
              <w:rPr>
                <w:rFonts w:ascii="仿宋_GB2312" w:hAnsi="仿宋_GB2312" w:cs="仿宋_GB2312" w:eastAsia="仿宋_GB2312"/>
              </w:rPr>
              <w:t>6、激光发射模组：驱动器电流控制范围0～1.5A，精度≤（±0.1%量程和500μA）取最小,恒流输出电压≥4V，24小时常温漂移≤50μV；扫描速率≥0.2Hz，温控输出电流≤2A，束腰位可调整，带红光共轴耦合，至少可实现HCl、CO、CO2、、H2S、CH4、C2H4气体的检测。</w:t>
            </w:r>
          </w:p>
          <w:p>
            <w:pPr>
              <w:pStyle w:val="null3"/>
            </w:pPr>
            <w:r>
              <w:rPr>
                <w:rFonts w:ascii="仿宋_GB2312" w:hAnsi="仿宋_GB2312" w:cs="仿宋_GB2312" w:eastAsia="仿宋_GB2312"/>
              </w:rPr>
              <w:t>7、激光检测模组：</w:t>
            </w:r>
          </w:p>
          <w:p>
            <w:pPr>
              <w:pStyle w:val="null3"/>
            </w:pPr>
            <w:r>
              <w:rPr>
                <w:rFonts w:ascii="仿宋_GB2312" w:hAnsi="仿宋_GB2312" w:cs="仿宋_GB2312" w:eastAsia="仿宋_GB2312"/>
              </w:rPr>
              <w:t>▲7.1配备光电探测，PD近红外探测器、MCT中红外探测器波长范围分别为0.80-2.65µm和3-12µm：PD近红外探测器波长范围800-2100nm和 900-2650nm，MCT中红外探测器波长范围3-4µm和4-12µm；</w:t>
            </w:r>
          </w:p>
          <w:p>
            <w:pPr>
              <w:pStyle w:val="null3"/>
            </w:pPr>
            <w:r>
              <w:rPr>
                <w:rFonts w:ascii="仿宋_GB2312" w:hAnsi="仿宋_GB2312" w:cs="仿宋_GB2312" w:eastAsia="仿宋_GB2312"/>
              </w:rPr>
              <w:t>7.2响应时间≤5ns，放大倍数15000V/A，感光面积＜1m2，工作温度-20～65℃，活动直径≤1mm；</w:t>
            </w:r>
          </w:p>
          <w:p>
            <w:pPr>
              <w:pStyle w:val="null3"/>
            </w:pPr>
            <w:r>
              <w:rPr>
                <w:rFonts w:ascii="仿宋_GB2312" w:hAnsi="仿宋_GB2312" w:cs="仿宋_GB2312" w:eastAsia="仿宋_GB2312"/>
              </w:rPr>
              <w:t>▲7.3 实现对HCl、CO、CO2、、H2S、CH4、C2H4气体的高信噪比检测，配备光功率计套装，Ge传感器，测量功率范围50nW～40mW，内置触摸屏数字电源与能量控制台。</w:t>
            </w:r>
          </w:p>
          <w:p>
            <w:pPr>
              <w:pStyle w:val="null3"/>
            </w:pPr>
            <w:r>
              <w:rPr>
                <w:rFonts w:ascii="仿宋_GB2312" w:hAnsi="仿宋_GB2312" w:cs="仿宋_GB2312" w:eastAsia="仿宋_GB2312"/>
              </w:rPr>
              <w:t>8、样品成分分析模组:</w:t>
            </w:r>
          </w:p>
          <w:p>
            <w:pPr>
              <w:pStyle w:val="null3"/>
            </w:pPr>
            <w:r>
              <w:rPr>
                <w:rFonts w:ascii="仿宋_GB2312" w:hAnsi="仿宋_GB2312" w:cs="仿宋_GB2312" w:eastAsia="仿宋_GB2312"/>
              </w:rPr>
              <w:t>▲8.1可检测光谱波数范围12000cm-1-3800cm-1，可检测光谱波数范围3350cm-1-800cm-1 ，分辨率≤4cm-1，精度≤2cm-1，波束准确数≤0.03cm-1，光功率≥10kHz，装配滤光片光谱范围为800-2100nm、900-2650nm和3000-12000nm。</w:t>
            </w:r>
          </w:p>
          <w:p>
            <w:pPr>
              <w:pStyle w:val="null3"/>
            </w:pPr>
            <w:r>
              <w:rPr>
                <w:rFonts w:ascii="仿宋_GB2312" w:hAnsi="仿宋_GB2312" w:cs="仿宋_GB2312" w:eastAsia="仿宋_GB2312"/>
              </w:rPr>
              <w:t>8.2功率测量范围为200µW-300mW，中红外区域波长精度约≤±0.3 nm，近红外区域波长精度约≤±0.03 nm。</w:t>
            </w:r>
          </w:p>
          <w:p>
            <w:pPr>
              <w:pStyle w:val="null3"/>
            </w:pPr>
            <w:r>
              <w:rPr>
                <w:rFonts w:ascii="仿宋_GB2312" w:hAnsi="仿宋_GB2312" w:cs="仿宋_GB2312" w:eastAsia="仿宋_GB2312"/>
              </w:rPr>
              <w:t>9、环境参数模拟模组：工作室容积≥1500L，配有加热和加湿装置。腔体温度控制范围-20°C至150°C，温度精度≤0.5℃，升温速率≥3℃/min，温度均匀度≤2℃；腔体湿度控制范围10%RH ~98%RH，湿度调节速率≥10%RH/min，湿度均匀度≤3.0%RH，湿度波动度≤2.0%RH。</w:t>
            </w:r>
          </w:p>
          <w:p>
            <w:pPr>
              <w:pStyle w:val="null3"/>
            </w:pPr>
            <w:r>
              <w:rPr>
                <w:rFonts w:ascii="仿宋_GB2312" w:hAnsi="仿宋_GB2312" w:cs="仿宋_GB2312" w:eastAsia="仿宋_GB2312"/>
              </w:rPr>
              <w:t>10、固定反射式激光气体遥测模组：甲烷测量量程0～50000ppm，遥测距离≥100m，30m内精度≤10ppm.m，响应时间≤0.05s，旋转角度水平360°、垂直≥±90°，隔爆型，防护等级IP68，工作温度-40℃~60℃，最大相对湿度≥95%RH(25℃)。</w:t>
            </w:r>
          </w:p>
          <w:p>
            <w:pPr>
              <w:pStyle w:val="null3"/>
            </w:pPr>
            <w:r>
              <w:rPr>
                <w:rFonts w:ascii="仿宋_GB2312" w:hAnsi="仿宋_GB2312" w:cs="仿宋_GB2312" w:eastAsia="仿宋_GB2312"/>
              </w:rPr>
              <w:t>11、手持反射式激光气体遥测模组：甲烷测量量程0～100000ppm，遥测距离≥50m，10m内精度≤5ppm.m，响应时间≤0.1s，工作温度-30℃~50℃，最大相对湿度≥95%RH(25℃)，隔爆型，防护等级IP66。</w:t>
            </w:r>
          </w:p>
          <w:p>
            <w:pPr>
              <w:pStyle w:val="null3"/>
            </w:pPr>
            <w:r>
              <w:rPr>
                <w:rFonts w:ascii="仿宋_GB2312" w:hAnsi="仿宋_GB2312" w:cs="仿宋_GB2312" w:eastAsia="仿宋_GB2312"/>
              </w:rPr>
              <w:t>12、气浮式光学平台，长×宽×高≥2000mm×1000mm×800mm，台面厚度≥200mm，承载能力≥500kg，粗糙度≤0.6μm，平面度≤0.05mm/m²，台面高度可调量≥15mm；气浮式光学平台带有隔振装置，台面振幅≤1.2μm、固有频率≤2.5Hz。配备 Ø25 mm 接杆垫块和 M6 固定螺丝套件，兼容 Ø12 mm～Ø25 mm 光学元件与支架，包含叉式夹块与接杆支架、夹钳叉与柱架套件、反射镜、反射镜架、准直器固定架，支持公制与通用标准组件的快速更换与角度调节。</w:t>
            </w:r>
          </w:p>
          <w:p>
            <w:pPr>
              <w:pStyle w:val="null3"/>
            </w:pPr>
            <w:r>
              <w:rPr>
                <w:rFonts w:ascii="仿宋_GB2312" w:hAnsi="仿宋_GB2312" w:cs="仿宋_GB2312" w:eastAsia="仿宋_GB2312"/>
              </w:rPr>
              <w:t>13、琴式操作台，规格为1.6m（宽）×1.4m（高）×1m（深），材料为碳钢防腐，配有嵌入式显示器（≥29英寸，2k）、键盘、鼠标等设备，内置工控机、具备电力与网络统一管理、实时数据采集与存储、权限分级及远程控制功能，同时采用防尘、防水、防电磁干扰等防护措施，台面倾斜设计（≤105°夹角），定制化设计。</w:t>
            </w:r>
          </w:p>
          <w:p>
            <w:pPr>
              <w:pStyle w:val="null3"/>
            </w:pPr>
            <w:r>
              <w:rPr>
                <w:rFonts w:ascii="仿宋_GB2312" w:hAnsi="仿宋_GB2312" w:cs="仿宋_GB2312" w:eastAsia="仿宋_GB2312"/>
              </w:rPr>
              <w:t>14、试验柜，规格约为1.8m（高）×0.8m（宽）×0.6m（深），材料为碳钢防腐，主要用于储存和保护实验用品，提供标准化配电接口。上下两层，对开门带锁，每层至少内置一个隔板，承重≥15kg，上下层内各配一个斜五孔插座。</w:t>
            </w:r>
          </w:p>
          <w:p>
            <w:pPr>
              <w:pStyle w:val="null3"/>
            </w:pPr>
            <w:r>
              <w:rPr>
                <w:rFonts w:ascii="仿宋_GB2312" w:hAnsi="仿宋_GB2312" w:cs="仿宋_GB2312" w:eastAsia="仿宋_GB2312"/>
              </w:rPr>
              <w:t>15、配HCl、CO、CO2、、H2S、CH4、C2H4、CO/CO2标准气体各三瓶，容积≥8L，压力≥0.7MPa</w:t>
            </w:r>
          </w:p>
          <w:p>
            <w:pPr>
              <w:pStyle w:val="null3"/>
            </w:pPr>
            <w:r>
              <w:rPr>
                <w:rFonts w:ascii="仿宋_GB2312" w:hAnsi="仿宋_GB2312" w:cs="仿宋_GB2312" w:eastAsia="仿宋_GB2312"/>
              </w:rPr>
              <w:t>16、工控机配置，AMD R9 9950X3D处理器及以上，主频≥4.3GHz，X870E Hero主板及以上，NVIDIA RTX 5080显卡及以上，显存≥16G，内存≥128GB DDR5（32GB×4），存储组合：1TB SSD+4TB×2，电源≥2000W，保障高负载环境下的稳定运行。</w:t>
            </w:r>
            <w:r>
              <w:br/>
            </w:r>
            <w:r>
              <w:rPr>
                <w:rFonts w:ascii="仿宋_GB2312" w:hAnsi="仿宋_GB2312" w:cs="仿宋_GB2312" w:eastAsia="仿宋_GB2312"/>
              </w:rPr>
              <w:t xml:space="preserve"> 17、激光打印机, 打印幅面：≥A4，分辨率：≥1200*600dpi,支持移动打印、无线、网络功能，具备千兆以太网 10/100/1000 Base-TX 网络端口、1个高速 USB 3.0以及Wi-Fi 802.11ac（双频段），自动交叉以太网，兼容Windows、macOS 12 Monterey、macOS 13 Ventura、MacOS v14 Sonoma、Linux等网络操作系统，内存≥512MB，≥2GB可用硬盘空间。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合同签订后90天内完成交货安装。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西安科技大学临潼校区应安楼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签订合同前向学校缴纳5%的履约保证金，合同签订后采购人支付40%合同金额的预付款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（1）项目质保期：验收合格后二年； （2）售后服务响应时间（质保期内）：即时响应（包括电话响应）；电话响应无法解决72小时内到达现场。修复时间48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一、付款条件相关要求： 国产产品付款方式：（1）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二、其他备注说明：1.因本项目使用电子招投标系统，格式无法调整，招标文件中其他部分与本部分不一致时以本部分要求为准；2.在合同履行过程中，如发生合同纠纷，合同双方应按照中华人民共和国法律解释，按照《中华人民共和国民法典》规定及合同条款约定进行处理。 三、中标供应商在领取中标通知书时应提供与线上投标文件一致的纸质版文件（一正一副）。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4、具有依法缴纳税收和社会保障资金的良好记录（提供开标前 12 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投标文件封面 陕西省政府采购供货商拒绝政府采购领域商业贿赂承诺书.docx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被授权人提供投标文件截止时间前一年内任意一个月在投标人单位缴纳社会保障资金（养老保险或医疗保险）的缴纳证明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 35 分。结合规格、技术参数偏离表的响应证明材料，按招标文件内配置最低要求，带“▲”号指标项每出现1项负偏离扣2分，非“▲”号指标项每出现1项负偏离，扣1分，扣完为止。供应商须按招标文件要求提供带“▲”号指标项的证明材料（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 选型方案全部满足采购需求，有质量保证承诺得4分； 选型方案部分满足采购需求，有质量保证承诺得2分; 未提供或选型导致严重负偏离得0分。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实施方案组织合理，调配运输方案清晰明确，进度保障措施先进可靠，能够切实保障项目时效性的得6分； 实施方案组织合理，有较为详细的调配运输方案，进度保障措施可靠，基本能够保障项目时效性的得4分； 实施方案组织基本合理，运输方案不够详尽，有一定的进度保障措施，具备保障项目时效性的承诺的得2分； 未提供或无法证明可以达到时效要求的得0分。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培训方案明确，培训内容完整，计划安排清晰可靠得6分； 培训方案不够明确，培训内容基本完整，计划安排清晰得4分； 培训内容较完整，计划安排基本清晰得2分； 未提供或培训内容缺失得0分。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 售后服务方案存在部分偏差，但承诺基本完整得4分； 售后服务方案存在部分偏差，承诺未覆盖上述内容得2分；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提供应商2022年1月1日至今类似业绩（以合同签订时间为准），提供合同复印件（扫描件）加盖供应商公章，每份有效业绩计2分，最高得10分。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详见附件：西安科技大学设备采购合同.docx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