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90FEE">
      <w:pPr>
        <w:pStyle w:val="3"/>
        <w:rPr>
          <w:rFonts w:ascii="仿宋" w:hAnsi="仿宋" w:eastAsia="仿宋"/>
        </w:rPr>
      </w:pPr>
      <w:bookmarkStart w:id="0" w:name="_Toc27391"/>
      <w:bookmarkStart w:id="1" w:name="_Toc102769683"/>
      <w:bookmarkStart w:id="2" w:name="_Toc85019468"/>
      <w:r>
        <w:rPr>
          <w:rFonts w:hint="eastAsia" w:ascii="仿宋" w:hAnsi="仿宋" w:eastAsia="仿宋"/>
          <w:bCs/>
          <w:iCs/>
          <w:szCs w:val="22"/>
        </w:rPr>
        <w:t>供应商资格证明文件</w:t>
      </w:r>
      <w:bookmarkEnd w:id="0"/>
      <w:bookmarkEnd w:id="1"/>
      <w:bookmarkEnd w:id="2"/>
    </w:p>
    <w:p w14:paraId="754AE975">
      <w:pPr>
        <w:spacing w:line="360" w:lineRule="auto"/>
        <w:outlineLvl w:val="0"/>
        <w:rPr>
          <w:rFonts w:hint="default" w:ascii="仿宋" w:hAnsi="仿宋" w:eastAsia="仿宋" w:cs="仿宋"/>
          <w:b/>
          <w:bCs/>
          <w:sz w:val="24"/>
          <w:szCs w:val="24"/>
        </w:rPr>
      </w:pPr>
      <w:bookmarkStart w:id="3" w:name="_Toc497712147"/>
      <w:bookmarkStart w:id="4" w:name="_Toc233435994"/>
      <w:bookmarkStart w:id="5" w:name="_Toc497551834"/>
      <w:bookmarkStart w:id="6" w:name="_Toc492955473"/>
      <w:bookmarkStart w:id="7" w:name="_Toc497711599"/>
      <w:bookmarkStart w:id="8" w:name="_Toc497546932"/>
      <w:r>
        <w:rPr>
          <w:rFonts w:ascii="仿宋" w:hAnsi="仿宋" w:eastAsia="仿宋" w:cs="仿宋"/>
          <w:b/>
          <w:bCs/>
          <w:sz w:val="24"/>
          <w:szCs w:val="24"/>
        </w:rPr>
        <w:t>（一）满足《中华人民共和国政府采购法》第二十二条规定</w:t>
      </w:r>
    </w:p>
    <w:p w14:paraId="302B645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1、具有独立承担民事责任的能力（企业法人应提供统一社会信用代码的营业执照；事业法人应提供事业单位法人证、组织机构代码证等证明文件；其他组织应提供合法证明文件；自然人提供身份证明文件）； </w:t>
      </w:r>
    </w:p>
    <w:p w14:paraId="4B819B3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2、具有良好的商业信誉和健全的财务会计制度，提供2024年度经审计完整的财务审计报告，或其开标前6个月内银行出具的资信证明，或财政部门认可的政府采购专业担保机构出具的投标担保函；</w:t>
      </w:r>
    </w:p>
    <w:p w14:paraId="3142444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3、具有履行合同所必需的设备和专业技术能力的书面声明（格式详见附件）； </w:t>
      </w:r>
    </w:p>
    <w:p w14:paraId="3C01E56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4、具有依法缴纳税收和社会保障资金的良好记录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（提供开标前 12 个月内任一月份的社保和缴纳税收的证明，税种须包含增值税或企业所得税，依法不需要缴纳社会保障资金、免税或无须缴纳税款的供应商，应提供相关证明文件)</w:t>
      </w:r>
      <w:r>
        <w:rPr>
          <w:rFonts w:hint="eastAsia" w:ascii="仿宋" w:hAnsi="仿宋" w:eastAsia="仿宋" w:cs="仿宋"/>
          <w:sz w:val="24"/>
          <w:szCs w:val="24"/>
        </w:rPr>
        <w:t xml:space="preserve">； </w:t>
      </w:r>
    </w:p>
    <w:p w14:paraId="1A088A92">
      <w:pPr>
        <w:spacing w:line="360" w:lineRule="auto"/>
        <w:rPr>
          <w:rFonts w:hint="default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5、参加政府采购活动前 3 年内在经营活动中没有重大违法记录的书面声明（格式详见附件）。</w:t>
      </w:r>
    </w:p>
    <w:p w14:paraId="23F31A98">
      <w:pPr>
        <w:spacing w:line="360" w:lineRule="auto"/>
        <w:rPr>
          <w:rFonts w:hint="default" w:ascii="仿宋" w:hAnsi="仿宋" w:eastAsia="仿宋" w:cs="仿宋"/>
          <w:b/>
          <w:bCs/>
          <w:sz w:val="24"/>
          <w:szCs w:val="24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（二）落实政府采购政策需满足的资格要求：</w:t>
      </w:r>
    </w:p>
    <w:p w14:paraId="36A694DF">
      <w:p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本项目</w:t>
      </w:r>
      <w:r>
        <w:rPr>
          <w:rFonts w:ascii="仿宋" w:hAnsi="仿宋" w:eastAsia="仿宋" w:cs="仿宋"/>
          <w:b w:val="0"/>
          <w:bCs w:val="0"/>
          <w:sz w:val="24"/>
          <w:szCs w:val="24"/>
        </w:rPr>
        <w:t>属于专门面向中小企业采购。</w:t>
      </w:r>
    </w:p>
    <w:p w14:paraId="4A5589D1">
      <w:pPr>
        <w:spacing w:line="360" w:lineRule="auto"/>
        <w:rPr>
          <w:rFonts w:ascii="仿宋" w:hAnsi="仿宋" w:eastAsia="仿宋" w:cs="仿宋"/>
          <w:b/>
          <w:bCs/>
          <w:sz w:val="24"/>
          <w:szCs w:val="24"/>
        </w:rPr>
      </w:pPr>
    </w:p>
    <w:p w14:paraId="5DA02AF4">
      <w:pPr>
        <w:widowControl/>
        <w:jc w:val="left"/>
        <w:rPr>
          <w:rFonts w:ascii="仿宋" w:hAnsi="仿宋" w:eastAsia="仿宋"/>
          <w:kern w:val="1"/>
          <w:sz w:val="24"/>
        </w:rPr>
      </w:pPr>
      <w:bookmarkStart w:id="9" w:name="_Toc85019469"/>
      <w:r>
        <w:rPr>
          <w:rFonts w:ascii="仿宋" w:hAnsi="仿宋" w:eastAsia="仿宋"/>
          <w:kern w:val="1"/>
        </w:rPr>
        <w:br w:type="page"/>
      </w:r>
    </w:p>
    <w:bookmarkEnd w:id="9"/>
    <w:p w14:paraId="475897B8">
      <w:pPr>
        <w:pStyle w:val="4"/>
        <w:spacing w:line="360" w:lineRule="auto"/>
        <w:rPr>
          <w:rFonts w:ascii="仿宋" w:hAnsi="仿宋" w:eastAsia="仿宋"/>
          <w:bCs/>
          <w:i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具有独立承担民事责任的能力（企业法人应提供统一社会信用代码的营业执照；事业法人应提供事业单位法人证、组织机构代码证等证明文件；其他组织应提供合法证明文件；自然人提供身份证明文件）</w:t>
      </w:r>
    </w:p>
    <w:p w14:paraId="20EB30D5">
      <w:pPr>
        <w:widowControl/>
        <w:jc w:val="left"/>
        <w:rPr>
          <w:rFonts w:ascii="仿宋" w:hAnsi="仿宋" w:eastAsia="仿宋"/>
          <w:bCs/>
          <w:iCs/>
          <w:sz w:val="24"/>
          <w:szCs w:val="24"/>
        </w:rPr>
      </w:pPr>
      <w:r>
        <w:rPr>
          <w:rFonts w:ascii="仿宋" w:hAnsi="仿宋" w:eastAsia="仿宋"/>
          <w:b/>
          <w:bCs/>
          <w:iCs/>
          <w:sz w:val="24"/>
          <w:szCs w:val="24"/>
        </w:rPr>
        <w:br w:type="page"/>
      </w:r>
    </w:p>
    <w:p w14:paraId="6EFAB9CF">
      <w:pPr>
        <w:pStyle w:val="4"/>
        <w:spacing w:line="360" w:lineRule="auto"/>
        <w:rPr>
          <w:rFonts w:hint="eastAsia" w:ascii="仿宋" w:hAnsi="仿宋" w:eastAsia="仿宋" w:cs="Times New Roman"/>
          <w:b/>
          <w:bCs w:val="0"/>
          <w:iCs/>
          <w:sz w:val="24"/>
          <w:szCs w:val="24"/>
          <w:lang w:eastAsia="zh-CN"/>
        </w:rPr>
      </w:pPr>
      <w:bookmarkStart w:id="10" w:name="_Toc428"/>
      <w:bookmarkStart w:id="11" w:name="_Toc85019471"/>
      <w:bookmarkStart w:id="12" w:name="_Toc102769686"/>
      <w:r>
        <w:rPr>
          <w:rFonts w:hint="eastAsia" w:ascii="仿宋" w:hAnsi="仿宋" w:eastAsia="仿宋" w:cs="Times New Roman"/>
          <w:b/>
          <w:bCs w:val="0"/>
          <w:iCs/>
          <w:sz w:val="24"/>
          <w:szCs w:val="24"/>
          <w:lang w:eastAsia="zh-CN"/>
        </w:rPr>
        <w:t>具有良好的商业信誉和健全的财务会计制度，提供2024年度经审计完整的财务审计报告，或其开标前6个月内银行出具的资信证明，或财政部门认可的政府采购专业担保机构出具的投标担保函</w:t>
      </w:r>
    </w:p>
    <w:p w14:paraId="2DBC5B6D">
      <w:pPr>
        <w:bidi w:val="0"/>
        <w:rPr>
          <w:rFonts w:ascii="仿宋" w:hAnsi="仿宋" w:eastAsia="仿宋"/>
          <w:bCs/>
          <w:iCs/>
          <w:szCs w:val="24"/>
        </w:rPr>
      </w:pPr>
      <w:r>
        <w:br w:type="page"/>
      </w:r>
    </w:p>
    <w:p w14:paraId="5E9CCC43">
      <w:pPr>
        <w:pStyle w:val="4"/>
        <w:spacing w:line="240" w:lineRule="auto"/>
        <w:rPr>
          <w:rFonts w:ascii="仿宋" w:hAnsi="仿宋" w:eastAsia="仿宋"/>
          <w:b/>
          <w:bCs w:val="0"/>
          <w:i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具有履行合同所必需的设备和专业技术能力的书面声明（格式详见附件）</w:t>
      </w:r>
    </w:p>
    <w:p w14:paraId="16BBFED6">
      <w:pPr>
        <w:spacing w:before="240" w:beforeLines="100" w:after="120" w:afterLines="50" w:line="360" w:lineRule="auto"/>
        <w:ind w:firstLine="496" w:firstLineChars="200"/>
        <w:rPr>
          <w:rFonts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（供应商名称）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于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（详细注册地址）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专业能力、数量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），本公司郑重承诺，具有履行本合同所必需的设备和专业技术能力。</w:t>
      </w:r>
    </w:p>
    <w:tbl>
      <w:tblPr>
        <w:tblStyle w:val="9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 w14:paraId="1F92E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vAlign w:val="center"/>
          </w:tcPr>
          <w:p w14:paraId="4875DADF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履行合同所必需的设备清单</w:t>
            </w:r>
          </w:p>
        </w:tc>
      </w:tr>
      <w:tr w14:paraId="40ECD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vAlign w:val="center"/>
          </w:tcPr>
          <w:p w14:paraId="537DF20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693" w:type="dxa"/>
            <w:vAlign w:val="center"/>
          </w:tcPr>
          <w:p w14:paraId="3FCD470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设备或材料名称</w:t>
            </w:r>
          </w:p>
        </w:tc>
        <w:tc>
          <w:tcPr>
            <w:tcW w:w="2268" w:type="dxa"/>
            <w:vAlign w:val="center"/>
          </w:tcPr>
          <w:p w14:paraId="01030CB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品牌及型号</w:t>
            </w:r>
          </w:p>
        </w:tc>
        <w:tc>
          <w:tcPr>
            <w:tcW w:w="851" w:type="dxa"/>
            <w:vAlign w:val="center"/>
          </w:tcPr>
          <w:p w14:paraId="1D41D59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2126" w:type="dxa"/>
            <w:vAlign w:val="center"/>
          </w:tcPr>
          <w:p w14:paraId="28B0170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备注（自购/租赁）</w:t>
            </w:r>
          </w:p>
        </w:tc>
      </w:tr>
      <w:tr w14:paraId="0F280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vAlign w:val="center"/>
          </w:tcPr>
          <w:p w14:paraId="69DB792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3B579E0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36F984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121D4C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EFBA11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508C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vAlign w:val="center"/>
          </w:tcPr>
          <w:p w14:paraId="0544B30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200A797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20935C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C595F7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828A1A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7F31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vAlign w:val="center"/>
          </w:tcPr>
          <w:p w14:paraId="2A22A78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14:paraId="55EB590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3FB4E0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A2FF50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CA9671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055A3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vAlign w:val="center"/>
          </w:tcPr>
          <w:p w14:paraId="250D4C5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….</w:t>
            </w:r>
          </w:p>
        </w:tc>
        <w:tc>
          <w:tcPr>
            <w:tcW w:w="2693" w:type="dxa"/>
            <w:vAlign w:val="center"/>
          </w:tcPr>
          <w:p w14:paraId="7765B4B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41E35D2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FB1448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2AE2405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5161D94A">
      <w:pPr>
        <w:spacing w:before="240" w:beforeLines="100" w:after="120" w:afterLines="50" w:line="360" w:lineRule="auto"/>
        <w:ind w:firstLine="496" w:firstLineChars="200"/>
        <w:rPr>
          <w:rFonts w:ascii="仿宋" w:hAnsi="仿宋" w:eastAsia="仿宋" w:cs="仿宋"/>
          <w:spacing w:val="4"/>
          <w:sz w:val="24"/>
        </w:rPr>
      </w:pPr>
    </w:p>
    <w:p w14:paraId="29BC8762">
      <w:pPr>
        <w:pStyle w:val="6"/>
        <w:rPr>
          <w:rFonts w:ascii="仿宋" w:hAnsi="仿宋" w:eastAsia="仿宋" w:cs="仿宋"/>
          <w:spacing w:val="4"/>
          <w:sz w:val="24"/>
        </w:rPr>
      </w:pPr>
    </w:p>
    <w:p w14:paraId="1BD0F6F2">
      <w:pPr>
        <w:rPr>
          <w:rFonts w:ascii="仿宋" w:hAnsi="仿宋" w:eastAsia="仿宋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7C8823EF">
      <w:pPr>
        <w:pStyle w:val="6"/>
        <w:ind w:firstLine="3373" w:firstLineChars="1400"/>
        <w:rPr>
          <w:rFonts w:ascii="仿宋" w:hAnsi="仿宋" w:eastAsia="仿宋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p w14:paraId="1B641A9E">
      <w:pPr>
        <w:widowControl/>
        <w:jc w:val="left"/>
        <w:rPr>
          <w:rFonts w:ascii="仿宋" w:hAnsi="仿宋" w:eastAsia="仿宋"/>
          <w:b/>
          <w:bCs/>
          <w:sz w:val="24"/>
          <w:szCs w:val="28"/>
        </w:rPr>
      </w:pPr>
      <w:r>
        <w:rPr>
          <w:rFonts w:ascii="仿宋" w:hAnsi="仿宋" w:eastAsia="仿宋"/>
          <w:sz w:val="24"/>
        </w:rPr>
        <w:br w:type="page"/>
      </w:r>
    </w:p>
    <w:bookmarkEnd w:id="10"/>
    <w:bookmarkEnd w:id="11"/>
    <w:bookmarkEnd w:id="12"/>
    <w:p w14:paraId="6D91B9C2">
      <w:pPr>
        <w:pStyle w:val="4"/>
        <w:spacing w:line="360" w:lineRule="auto"/>
        <w:rPr>
          <w:rFonts w:ascii="仿宋" w:hAnsi="仿宋" w:eastAsia="仿宋"/>
          <w:bCs/>
          <w:iCs/>
          <w:sz w:val="24"/>
          <w:szCs w:val="24"/>
        </w:rPr>
      </w:pPr>
      <w:bookmarkStart w:id="13" w:name="_Toc85019473"/>
      <w:bookmarkStart w:id="14" w:name="_Toc85019472"/>
      <w:r>
        <w:rPr>
          <w:rFonts w:hint="eastAsia" w:ascii="仿宋" w:hAnsi="仿宋" w:eastAsia="仿宋" w:cs="仿宋"/>
          <w:sz w:val="24"/>
          <w:szCs w:val="24"/>
        </w:rPr>
        <w:t>具有依法缴纳税收和社会保障资金的良好记录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（提供开标前 12 个月内任一月份的社保和缴纳税收的证明，税种须包含增值税或企业所得税，依法不需要缴纳社会保障资金、免税或无须缴纳税款的供应商，应提供相关证明文件)</w:t>
      </w:r>
    </w:p>
    <w:p w14:paraId="3D22C4CF">
      <w:pPr>
        <w:rPr>
          <w:rFonts w:ascii="仿宋" w:hAnsi="仿宋" w:eastAsia="仿宋"/>
        </w:rPr>
      </w:pPr>
    </w:p>
    <w:bookmarkEnd w:id="13"/>
    <w:p w14:paraId="02DB0099">
      <w:pPr>
        <w:pStyle w:val="4"/>
        <w:spacing w:line="240" w:lineRule="auto"/>
        <w:outlineLvl w:val="2"/>
        <w:rPr>
          <w:rFonts w:ascii="仿宋" w:hAnsi="仿宋" w:eastAsia="仿宋"/>
          <w:b w:val="0"/>
          <w:bCs/>
          <w:iCs/>
          <w:sz w:val="24"/>
          <w:szCs w:val="24"/>
        </w:rPr>
      </w:pPr>
      <w:r>
        <w:rPr>
          <w:rFonts w:ascii="仿宋" w:hAnsi="仿宋" w:eastAsia="仿宋"/>
        </w:rPr>
        <w:br w:type="page"/>
      </w:r>
      <w:bookmarkEnd w:id="14"/>
      <w:r>
        <w:rPr>
          <w:rFonts w:hint="eastAsia" w:ascii="仿宋" w:hAnsi="仿宋" w:eastAsia="仿宋" w:cs="仿宋"/>
          <w:sz w:val="24"/>
          <w:szCs w:val="24"/>
        </w:rPr>
        <w:t>参加政府采购活动前 3 年内在经营活动中没有重大违法记录的书面声明（格式详见附件）</w:t>
      </w:r>
    </w:p>
    <w:p w14:paraId="559364CB">
      <w:pPr>
        <w:pStyle w:val="8"/>
        <w:wordWrap w:val="0"/>
        <w:spacing w:before="0" w:beforeAutospacing="0" w:after="0" w:afterAutospacing="0" w:line="360" w:lineRule="auto"/>
        <w:jc w:val="both"/>
        <w:rPr>
          <w:rFonts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szCs w:val="24"/>
          <w:shd w:val="clear" w:color="auto" w:fill="FFFFFF"/>
          <w:lang w:val="en-US" w:eastAsia="zh-CN"/>
        </w:rPr>
        <w:t>采购人</w:t>
      </w:r>
      <w:r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：</w:t>
      </w:r>
    </w:p>
    <w:p w14:paraId="3EFCC2AA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Cs w:val="24"/>
          <w:u w:val="single"/>
          <w:shd w:val="clear" w:color="auto" w:fill="FFFFFF"/>
        </w:rPr>
        <w:t xml:space="preserve">   </w:t>
      </w:r>
      <w:r>
        <w:rPr>
          <w:rFonts w:ascii="仿宋" w:hAnsi="仿宋" w:eastAsia="仿宋" w:cs="仿宋_GB2312"/>
          <w:u w:val="single"/>
        </w:rPr>
        <w:t xml:space="preserve"> </w:t>
      </w:r>
      <w:r>
        <w:rPr>
          <w:rFonts w:hint="eastAsia" w:ascii="仿宋" w:hAnsi="仿宋" w:eastAsia="仿宋" w:cs="仿宋"/>
          <w:i/>
          <w:iCs/>
          <w:szCs w:val="24"/>
          <w:u w:val="single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）的供应商，在此郑重声明： </w:t>
      </w:r>
    </w:p>
    <w:p w14:paraId="0B523E16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1、在参加本次政府采购活动前3年内的经营活动中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（填“没有”或“有”）重大违法记录。供应商在参加政府采购活动前3年内因违法经营被禁止在一定期限内参加政府采购活动，期限届满的，可以参加政府采购活动，但应提供期限届满的证明材料。 </w:t>
      </w:r>
    </w:p>
    <w:p w14:paraId="65A561CE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2、我方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（填“未被列入”或“被列入”）失信被执行人名单。</w:t>
      </w:r>
    </w:p>
    <w:p w14:paraId="232254AA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3、我方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（填“未被列入”或“被列入”）重大税收违法案件当事人名单。 </w:t>
      </w:r>
    </w:p>
    <w:p w14:paraId="6EDC2AB0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4、我方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（填“未被列入”或“被列入”）政府采购严重违法失信行为记录名单。 </w:t>
      </w:r>
    </w:p>
    <w:p w14:paraId="61F47A09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2638ADD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特此声明。 </w:t>
      </w:r>
    </w:p>
    <w:p w14:paraId="1BDEC15D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</w:p>
    <w:p w14:paraId="45082F72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</w:p>
    <w:p w14:paraId="6827FEF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535BEFD2">
      <w:pPr>
        <w:ind w:firstLine="3373" w:firstLineChars="1400"/>
        <w:rPr>
          <w:rFonts w:ascii="仿宋" w:hAnsi="仿宋" w:eastAsia="仿宋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bookmarkEnd w:id="3"/>
    <w:bookmarkEnd w:id="4"/>
    <w:bookmarkEnd w:id="5"/>
    <w:bookmarkEnd w:id="6"/>
    <w:bookmarkEnd w:id="7"/>
    <w:bookmarkEnd w:id="8"/>
    <w:p w14:paraId="7C130F1E">
      <w:r>
        <w:br w:type="page"/>
      </w:r>
    </w:p>
    <w:p w14:paraId="0E87C089">
      <w:pPr>
        <w:pStyle w:val="6"/>
        <w:outlineLvl w:val="0"/>
        <w:rPr>
          <w:rFonts w:hint="eastAsia" w:ascii="仿宋" w:hAnsi="仿宋" w:eastAsia="仿宋" w:cs="仿宋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  <w:lang w:val="en-US" w:eastAsia="zh-CN" w:bidi="ar-SA"/>
        </w:rPr>
        <w:t>（二）落实政府采购政策需满足的资格要求：本项目属于专门面向中小企业采购。</w:t>
      </w:r>
    </w:p>
    <w:p w14:paraId="02ECA2B6">
      <w:pPr>
        <w:adjustRightInd w:val="0"/>
        <w:snapToGrid w:val="0"/>
        <w:spacing w:line="360" w:lineRule="auto"/>
        <w:jc w:val="center"/>
        <w:outlineLvl w:val="9"/>
        <w:rPr>
          <w:rFonts w:ascii="仿宋" w:hAnsi="仿宋" w:eastAsia="仿宋" w:cs="仿宋_GB2312"/>
          <w:sz w:val="24"/>
          <w:szCs w:val="24"/>
          <w:highlight w:val="none"/>
        </w:rPr>
      </w:pPr>
      <w:bookmarkStart w:id="15" w:name="_Toc27487"/>
      <w:r>
        <w:rPr>
          <w:rFonts w:hint="eastAsia" w:ascii="仿宋" w:hAnsi="仿宋" w:eastAsia="仿宋" w:cs="仿宋"/>
          <w:b/>
          <w:bCs/>
          <w:sz w:val="32"/>
          <w:szCs w:val="40"/>
          <w:highlight w:val="none"/>
        </w:rPr>
        <w:t>中小企业声明函（货物）</w:t>
      </w:r>
      <w:bookmarkEnd w:id="15"/>
    </w:p>
    <w:p w14:paraId="44D6CA07">
      <w:pPr>
        <w:spacing w:line="360" w:lineRule="auto"/>
        <w:ind w:firstLine="424" w:firstLineChars="177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本公司（联合体）郑重声明，根据《政府采购促进中小企业发展管理办法》（财库</w:t>
      </w:r>
      <w:r>
        <w:rPr>
          <w:rFonts w:hint="eastAsia" w:ascii="仿宋" w:hAnsi="仿宋" w:eastAsia="仿宋" w:cs="微软雅黑"/>
          <w:sz w:val="24"/>
          <w:highlight w:val="none"/>
        </w:rPr>
        <w:t>﹝</w:t>
      </w:r>
      <w:r>
        <w:rPr>
          <w:rFonts w:hint="eastAsia" w:ascii="仿宋" w:hAnsi="仿宋" w:eastAsia="仿宋" w:cs="仿宋_GB2312"/>
          <w:sz w:val="24"/>
          <w:highlight w:val="none"/>
        </w:rPr>
        <w:t>2020</w:t>
      </w:r>
      <w:r>
        <w:rPr>
          <w:rFonts w:hint="eastAsia" w:ascii="仿宋" w:hAnsi="仿宋" w:eastAsia="仿宋" w:cs="微软雅黑"/>
          <w:sz w:val="24"/>
          <w:highlight w:val="none"/>
        </w:rPr>
        <w:t>﹞</w:t>
      </w:r>
      <w:r>
        <w:rPr>
          <w:rFonts w:hint="eastAsia" w:ascii="仿宋" w:hAnsi="仿宋" w:eastAsia="仿宋" w:cs="仿宋_GB2312"/>
          <w:sz w:val="24"/>
          <w:highlight w:val="none"/>
        </w:rPr>
        <w:t xml:space="preserve">46 号）的规定，本公司（联合体）参加 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（单位名称） </w:t>
      </w:r>
      <w:r>
        <w:rPr>
          <w:rFonts w:hint="eastAsia" w:ascii="仿宋" w:hAnsi="仿宋" w:eastAsia="仿宋" w:cs="仿宋_GB2312"/>
          <w:sz w:val="24"/>
          <w:highlight w:val="none"/>
        </w:rPr>
        <w:t>的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（项目名称） </w:t>
      </w:r>
      <w:r>
        <w:rPr>
          <w:rFonts w:hint="eastAsia" w:ascii="仿宋" w:hAnsi="仿宋" w:eastAsia="仿宋" w:cs="仿宋_GB2312"/>
          <w:sz w:val="24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5DDB0203">
      <w:pPr>
        <w:spacing w:line="360" w:lineRule="auto"/>
        <w:ind w:firstLine="424" w:firstLineChars="177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 xml:space="preserve">1. 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>（</w:t>
      </w:r>
      <w:r>
        <w:rPr>
          <w:rFonts w:hint="eastAsia" w:ascii="仿宋" w:hAnsi="仿宋" w:eastAsia="仿宋" w:cs="仿宋_GB2312"/>
          <w:sz w:val="24"/>
          <w:highlight w:val="none"/>
          <w:u w:val="single"/>
          <w:lang w:val="en-US" w:eastAsia="zh-CN"/>
        </w:rPr>
        <w:t>立体扫描式激光气体遥测仪）</w:t>
      </w:r>
      <w:bookmarkStart w:id="16" w:name="_GoBack"/>
      <w:bookmarkEnd w:id="16"/>
      <w:r>
        <w:rPr>
          <w:rFonts w:hint="eastAsia" w:ascii="仿宋" w:hAnsi="仿宋" w:eastAsia="仿宋" w:cs="仿宋_GB2312"/>
          <w:sz w:val="24"/>
          <w:highlight w:val="none"/>
        </w:rPr>
        <w:t>，属于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（工业）</w:t>
      </w:r>
      <w:r>
        <w:rPr>
          <w:rFonts w:hint="eastAsia" w:ascii="仿宋" w:hAnsi="仿宋" w:eastAsia="仿宋" w:cs="仿宋_GB2312"/>
          <w:sz w:val="24"/>
          <w:highlight w:val="none"/>
        </w:rPr>
        <w:t>行业 ；制造商为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（企业名称） </w:t>
      </w:r>
      <w:r>
        <w:rPr>
          <w:rFonts w:hint="eastAsia" w:ascii="仿宋" w:hAnsi="仿宋" w:eastAsia="仿宋" w:cs="仿宋_GB2312"/>
          <w:sz w:val="24"/>
          <w:highlight w:val="none"/>
        </w:rPr>
        <w:t>，从业人员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人，营业收入为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万元，资产总额为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万元，属于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（中型企业、小型企业、微型企业） </w:t>
      </w:r>
      <w:r>
        <w:rPr>
          <w:rFonts w:hint="eastAsia" w:ascii="仿宋" w:hAnsi="仿宋" w:eastAsia="仿宋" w:cs="仿宋_GB2312"/>
          <w:sz w:val="24"/>
          <w:highlight w:val="none"/>
        </w:rPr>
        <w:t>；</w:t>
      </w:r>
    </w:p>
    <w:p w14:paraId="63CEEBB2">
      <w:pPr>
        <w:spacing w:line="360" w:lineRule="auto"/>
        <w:ind w:firstLine="424" w:firstLineChars="177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……</w:t>
      </w:r>
    </w:p>
    <w:p w14:paraId="5D0CE2D2">
      <w:pPr>
        <w:spacing w:line="360" w:lineRule="auto"/>
        <w:ind w:firstLine="424" w:firstLineChars="177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00DF6F27">
      <w:pPr>
        <w:spacing w:line="360" w:lineRule="auto"/>
        <w:ind w:firstLine="424" w:firstLineChars="177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本企业对上述声明内容的真实性负责。如有虚假，将依法承担相应责任。</w:t>
      </w:r>
    </w:p>
    <w:p w14:paraId="07F2224D">
      <w:pPr>
        <w:spacing w:line="360" w:lineRule="auto"/>
        <w:jc w:val="right"/>
        <w:rPr>
          <w:rFonts w:ascii="仿宋" w:hAnsi="仿宋" w:eastAsia="仿宋" w:cs="仿宋_GB2312"/>
          <w:sz w:val="24"/>
          <w:highlight w:val="none"/>
        </w:rPr>
      </w:pPr>
    </w:p>
    <w:p w14:paraId="1AFCB6FB">
      <w:pPr>
        <w:spacing w:line="360" w:lineRule="auto"/>
        <w:jc w:val="right"/>
        <w:rPr>
          <w:rFonts w:ascii="仿宋" w:hAnsi="仿宋" w:eastAsia="仿宋"/>
          <w:sz w:val="24"/>
          <w:highlight w:val="none"/>
        </w:rPr>
      </w:pPr>
    </w:p>
    <w:p w14:paraId="1AD1BEBD">
      <w:pPr>
        <w:pStyle w:val="6"/>
        <w:spacing w:line="360" w:lineRule="auto"/>
        <w:jc w:val="right"/>
        <w:rPr>
          <w:rFonts w:ascii="仿宋" w:hAnsi="仿宋" w:eastAsia="仿宋"/>
          <w:highlight w:val="none"/>
        </w:rPr>
      </w:pPr>
    </w:p>
    <w:p w14:paraId="5D2D312E">
      <w:pPr>
        <w:spacing w:line="360" w:lineRule="auto"/>
        <w:jc w:val="center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 xml:space="preserve">      企业名称（盖章）：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        </w:t>
      </w:r>
    </w:p>
    <w:p w14:paraId="5A33E1C7">
      <w:pPr>
        <w:wordWrap w:val="0"/>
        <w:spacing w:line="360" w:lineRule="auto"/>
        <w:ind w:firstLine="4800" w:firstLineChars="2000"/>
        <w:rPr>
          <w:rFonts w:ascii="仿宋" w:hAnsi="仿宋" w:eastAsia="仿宋" w:cs="仿宋_GB2312"/>
          <w:sz w:val="24"/>
          <w:highlight w:val="none"/>
          <w:u w:val="single"/>
        </w:rPr>
      </w:pPr>
      <w:r>
        <w:rPr>
          <w:rFonts w:hint="eastAsia" w:ascii="仿宋" w:hAnsi="仿宋" w:eastAsia="仿宋" w:cs="仿宋_GB2312"/>
          <w:sz w:val="24"/>
          <w:highlight w:val="none"/>
        </w:rPr>
        <w:t>日 期：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        </w:t>
      </w:r>
    </w:p>
    <w:p w14:paraId="1AF04315">
      <w:pPr>
        <w:pStyle w:val="6"/>
        <w:spacing w:line="360" w:lineRule="auto"/>
        <w:rPr>
          <w:rFonts w:ascii="仿宋" w:hAnsi="仿宋" w:eastAsia="仿宋"/>
          <w:highlight w:val="none"/>
        </w:rPr>
      </w:pPr>
    </w:p>
    <w:p w14:paraId="142E03BE">
      <w:pPr>
        <w:adjustRightInd w:val="0"/>
        <w:snapToGrid w:val="0"/>
        <w:spacing w:line="360" w:lineRule="auto"/>
        <w:jc w:val="left"/>
        <w:rPr>
          <w:rFonts w:hint="eastAsia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从业人员、营业收入、资产总额填报上一年度数据，无上一年度数据的新成立企业可不填报。</w:t>
      </w:r>
    </w:p>
    <w:p w14:paraId="4F650575">
      <w:pPr>
        <w:pStyle w:val="6"/>
        <w:spacing w:line="240" w:lineRule="auto"/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  <w:t>备注：在政府采购活动中，供应商提供的货物符合下列情形的，享受本办法规定的中小企业扶持政策：</w:t>
      </w:r>
    </w:p>
    <w:p w14:paraId="09C2D8E0">
      <w:pPr>
        <w:pStyle w:val="6"/>
        <w:spacing w:line="240" w:lineRule="auto"/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  <w:t>在货物采购项目中，货物由中小企业制造，即货物由中小企业生产且使用该中小企业商号或者注册商标；</w:t>
      </w:r>
    </w:p>
    <w:p w14:paraId="08157D1A">
      <w:pPr>
        <w:adjustRightInd w:val="0"/>
        <w:spacing w:line="240" w:lineRule="auto"/>
        <w:jc w:val="left"/>
        <w:textAlignment w:val="baseline"/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  <w:t>在货物采购项目中，供应商提供的货物既有中小企业制造货物，也有大型企业制造货物的，不享受本办法规定的中小企业扶持政策。</w:t>
      </w:r>
    </w:p>
    <w:p w14:paraId="5A70A3A4">
      <w:pPr>
        <w:spacing w:line="240" w:lineRule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根据《中小企业划型标准规定》工业。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从业人员1000人以下或营业收入40000万元以下的为中小微型企业。其中，从业人员300人及以上，且营业收入2000万元及以上的为中型企业；从业人员20人及以上，且营业收入300万元及以上的为小型企业；从业人员20人以下或营业收入300万元以下的为微型企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486F273F"/>
    <w:rsid w:val="0BBF3F9D"/>
    <w:rsid w:val="0FB779CF"/>
    <w:rsid w:val="1FF60EFA"/>
    <w:rsid w:val="2C4F6174"/>
    <w:rsid w:val="2D86058A"/>
    <w:rsid w:val="348E1E96"/>
    <w:rsid w:val="486F273F"/>
    <w:rsid w:val="73A9504B"/>
    <w:rsid w:val="74F91D4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after="290" w:afterLines="0" w:line="372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"/>
    <w:basedOn w:val="1"/>
    <w:next w:val="5"/>
    <w:qFormat/>
    <w:uiPriority w:val="0"/>
    <w:rPr>
      <w:b/>
      <w:sz w:val="28"/>
    </w:rPr>
  </w:style>
  <w:style w:type="paragraph" w:styleId="7">
    <w:name w:val="toc 2"/>
    <w:basedOn w:val="1"/>
    <w:next w:val="1"/>
    <w:qFormat/>
    <w:uiPriority w:val="0"/>
    <w:pPr>
      <w:keepNext w:val="0"/>
      <w:keepLines w:val="0"/>
      <w:spacing w:before="0" w:beforeLines="0" w:after="0" w:afterLines="0" w:line="240" w:lineRule="auto"/>
      <w:ind w:left="210"/>
      <w:jc w:val="left"/>
      <w:outlineLvl w:val="9"/>
    </w:pPr>
    <w:rPr>
      <w:rFonts w:ascii="Times New Roman" w:hAnsi="Times New Roman" w:eastAsia="宋体"/>
      <w:b/>
      <w:bCs/>
      <w:smallCaps/>
      <w:sz w:val="20"/>
      <w:szCs w:val="20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1930</Words>
  <Characters>1961</Characters>
  <Lines>0</Lines>
  <Paragraphs>0</Paragraphs>
  <TotalTime>0</TotalTime>
  <ScaleCrop>false</ScaleCrop>
  <LinksUpToDate>false</LinksUpToDate>
  <CharactersWithSpaces>2357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2023-07-12T08:52:00Z</dcterms:created>
  <dc:creator>陕西中技招标有限公司</dc:creator>
  <cp:lastModifiedBy>陕西中技招标有限公司</cp:lastModifiedBy>
  <dcterms:modified xsi:type="dcterms:W3CDTF">2025-09-25T05:51:44Z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F8A8DF1BFD67441683E2C28521FEE55D_11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