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版本号：RH招字[HZ2025-0903]20250925001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2025年囚被服采购项目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RH招字[HZ2025-0903]</w:t>
      </w:r>
      <w:r>
        <w:br/>
      </w:r>
      <w:r>
        <w:br/>
      </w:r>
      <w:r>
        <w:br/>
      </w:r>
      <w:r>
        <w:br/>
      </w:r>
      <w:r>
        <w:br/>
      </w:r>
    </w:p>
    <w:p>
      <w:pPr>
        <w:pStyle w:val="null3"/>
        <w:jc w:val="center"/>
        <w:outlineLvl w:val="5"/>
      </w:pPr>
      <w:r>
        <w:rPr>
          <w:rFonts w:ascii="仿宋_GB2312" w:hAnsi="仿宋_GB2312" w:cs="仿宋_GB2312" w:eastAsia="仿宋_GB2312"/>
          <w:sz w:val="15"/>
          <w:b/>
        </w:rPr>
        <w:t>陕西省汉江监狱</w:t>
      </w:r>
    </w:p>
    <w:p>
      <w:pPr>
        <w:pStyle w:val="null3"/>
        <w:jc w:val="center"/>
        <w:outlineLvl w:val="5"/>
      </w:pPr>
      <w:r>
        <w:rPr>
          <w:rFonts w:ascii="仿宋_GB2312" w:hAnsi="仿宋_GB2312" w:cs="仿宋_GB2312" w:eastAsia="仿宋_GB2312"/>
          <w:sz w:val="15"/>
          <w:b/>
        </w:rPr>
        <w:t>瑞恒项目管理有限公司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2025年09月26日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陕西省汉江监狱</w:t>
      </w:r>
      <w:r>
        <w:rPr>
          <w:rFonts w:ascii="仿宋_GB2312" w:hAnsi="仿宋_GB2312" w:cs="仿宋_GB2312" w:eastAsia="仿宋_GB2312"/>
        </w:rPr>
        <w:t>委托，拟对</w:t>
      </w:r>
      <w:r>
        <w:rPr>
          <w:rFonts w:ascii="仿宋_GB2312" w:hAnsi="仿宋_GB2312" w:cs="仿宋_GB2312" w:eastAsia="仿宋_GB2312"/>
        </w:rPr>
        <w:t>2025年囚被服采购项目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RH招字[HZ2025-0903]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2025年囚被服采购项目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陕西省汉江监狱采购罪犯囚被服1批。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采购包1（陕西省汉江监狱2025年囚被服采购项目）：属于专门面向中小企业采购。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1、供应商为具有独立承担民事责任能力的法人或其他组织或自然人.：出具合法有效的营业执照或事业法人证书等国家规定的相关证明，自然人参与的提供其身份证明；</w:t>
      </w:r>
    </w:p>
    <w:p>
      <w:pPr>
        <w:pStyle w:val="null3"/>
      </w:pPr>
      <w:r>
        <w:rPr>
          <w:rFonts w:ascii="仿宋_GB2312" w:hAnsi="仿宋_GB2312" w:cs="仿宋_GB2312" w:eastAsia="仿宋_GB2312"/>
        </w:rPr>
        <w:t>2、法定代表人参加投标的，须提供法定代表人身份证复印件；法定代表人授权本单位他人参加投标的，须提供法定代表人授权委托书及被授权人身份证复印件。：供应商需在项目电子化交易系统中按要求填写《法定代表人授权委托书》并进行电子签章；</w:t>
      </w:r>
    </w:p>
    <w:p>
      <w:pPr>
        <w:pStyle w:val="null3"/>
      </w:pPr>
      <w:r>
        <w:rPr>
          <w:rFonts w:ascii="仿宋_GB2312" w:hAnsi="仿宋_GB2312" w:cs="仿宋_GB2312" w:eastAsia="仿宋_GB2312"/>
        </w:rPr>
        <w:t>3、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提供《汉中市政府采购供应商资格承诺函》并进行电子签章；</w:t>
      </w:r>
    </w:p>
    <w:p>
      <w:pPr>
        <w:pStyle w:val="null3"/>
      </w:pPr>
      <w:r>
        <w:rPr>
          <w:rFonts w:ascii="仿宋_GB2312" w:hAnsi="仿宋_GB2312" w:cs="仿宋_GB2312" w:eastAsia="仿宋_GB2312"/>
        </w:rPr>
        <w:t>4、具有履行合同所必需的设备和专业技术能力：提供具有履行合同所必需的设备和专业技术能力的承诺；</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陕西省汉江监狱</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陕西省汉中市北郊十里村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陕西省汉江监狱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15309169561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13892627589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根据国家计委关于印发《采购代理服务收费管理暂行办法的通知》（计价格[2002]1980号）、《国家发展改革委员会办公厅关于招标代理服务收费有关问题的通知》（发改办价格〔2003〕857号）以及《国家发展改革委关于降低部分建设项目收费标准规范收费行为等有关问题的通知》(发改价格〔2011〕534号)规定的标准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陕西省汉江监狱</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陕西省汉江监狱</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2025年罪犯囚被服采购1项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囚服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标的名称：囚服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436"/>
              <w:gridCol w:w="172"/>
              <w:gridCol w:w="172"/>
              <w:gridCol w:w="172"/>
              <w:gridCol w:w="172"/>
              <w:gridCol w:w="172"/>
              <w:gridCol w:w="172"/>
              <w:gridCol w:w="356"/>
              <w:gridCol w:w="356"/>
              <w:gridCol w:w="356"/>
            </w:tblGrid>
            <w:tr>
              <w:tc>
                <w:tcPr>
                  <w:tcW w:type="dxa" w:w="436"/>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型号</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数量</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名称</w:t>
                  </w:r>
                </w:p>
              </w:tc>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特号</w:t>
                  </w:r>
                </w:p>
              </w:tc>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一号</w:t>
                  </w:r>
                </w:p>
              </w:tc>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二号</w:t>
                  </w:r>
                </w:p>
              </w:tc>
              <w:tc>
                <w:tcPr>
                  <w:tcW w:type="dxa" w:w="356"/>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三号</w:t>
                  </w:r>
                </w:p>
              </w:tc>
              <w:tc>
                <w:tcPr>
                  <w:tcW w:type="dxa" w:w="356"/>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四号</w:t>
                  </w:r>
                </w:p>
              </w:tc>
              <w:tc>
                <w:tcPr>
                  <w:tcW w:type="dxa" w:w="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小计</w:t>
                  </w:r>
                </w:p>
              </w:tc>
            </w:tr>
            <w:tr>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棉  衣</w:t>
                  </w:r>
                </w:p>
              </w:tc>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400</w:t>
                  </w:r>
                </w:p>
              </w:tc>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700</w:t>
                  </w:r>
                </w:p>
              </w:tc>
              <w:tc>
                <w:tcPr>
                  <w:tcW w:type="dxa" w:w="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400</w:t>
                  </w:r>
                </w:p>
              </w:tc>
              <w:tc>
                <w:tcPr>
                  <w:tcW w:type="dxa" w:w="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300</w:t>
                  </w:r>
                </w:p>
              </w:tc>
              <w:tc>
                <w:tcPr>
                  <w:tcW w:type="dxa" w:w="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1800</w:t>
                  </w:r>
                </w:p>
              </w:tc>
            </w:tr>
            <w:tr>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冬罩衣</w:t>
                  </w:r>
                </w:p>
              </w:tc>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500</w:t>
                  </w:r>
                </w:p>
              </w:tc>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700</w:t>
                  </w:r>
                </w:p>
              </w:tc>
              <w:tc>
                <w:tcPr>
                  <w:tcW w:type="dxa" w:w="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1000</w:t>
                  </w:r>
                </w:p>
              </w:tc>
              <w:tc>
                <w:tcPr>
                  <w:tcW w:type="dxa" w:w="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800</w:t>
                  </w:r>
                </w:p>
              </w:tc>
              <w:tc>
                <w:tcPr>
                  <w:tcW w:type="dxa" w:w="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3000</w:t>
                  </w:r>
                </w:p>
              </w:tc>
            </w:tr>
            <w:tr>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春秋服</w:t>
                  </w:r>
                </w:p>
              </w:tc>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400</w:t>
                  </w:r>
                </w:p>
              </w:tc>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900</w:t>
                  </w:r>
                </w:p>
              </w:tc>
              <w:tc>
                <w:tcPr>
                  <w:tcW w:type="dxa" w:w="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1000</w:t>
                  </w:r>
                </w:p>
              </w:tc>
              <w:tc>
                <w:tcPr>
                  <w:tcW w:type="dxa" w:w="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700</w:t>
                  </w:r>
                </w:p>
              </w:tc>
              <w:tc>
                <w:tcPr>
                  <w:tcW w:type="dxa" w:w="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3000</w:t>
                  </w:r>
                </w:p>
              </w:tc>
            </w:tr>
            <w:tr>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夏  服</w:t>
                  </w:r>
                </w:p>
              </w:tc>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400</w:t>
                  </w:r>
                </w:p>
              </w:tc>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800</w:t>
                  </w:r>
                </w:p>
              </w:tc>
              <w:tc>
                <w:tcPr>
                  <w:tcW w:type="dxa" w:w="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1000</w:t>
                  </w:r>
                </w:p>
              </w:tc>
              <w:tc>
                <w:tcPr>
                  <w:tcW w:type="dxa" w:w="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800</w:t>
                  </w:r>
                </w:p>
              </w:tc>
              <w:tc>
                <w:tcPr>
                  <w:tcW w:type="dxa" w:w="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3000</w:t>
                  </w:r>
                </w:p>
              </w:tc>
            </w:tr>
            <w:tr>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短  裤</w:t>
                  </w:r>
                </w:p>
              </w:tc>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100</w:t>
                  </w:r>
                </w:p>
              </w:tc>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500</w:t>
                  </w:r>
                </w:p>
              </w:tc>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900</w:t>
                  </w:r>
                </w:p>
              </w:tc>
              <w:tc>
                <w:tcPr>
                  <w:tcW w:type="dxa" w:w="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1000</w:t>
                  </w:r>
                </w:p>
              </w:tc>
              <w:tc>
                <w:tcPr>
                  <w:tcW w:type="dxa" w:w="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500</w:t>
                  </w:r>
                </w:p>
              </w:tc>
              <w:tc>
                <w:tcPr>
                  <w:tcW w:type="dxa" w:w="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3000</w:t>
                  </w:r>
                </w:p>
              </w:tc>
            </w:tr>
            <w:tr>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单帽</w:t>
                  </w:r>
                </w:p>
              </w:tc>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130</w:t>
                  </w:r>
                </w:p>
              </w:tc>
              <w:tc>
                <w:tcPr>
                  <w:tcW w:type="dxa" w:w="34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200</w:t>
                  </w:r>
                </w:p>
              </w:tc>
              <w:tc>
                <w:tcPr>
                  <w:tcW w:type="dxa" w:w="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200</w:t>
                  </w:r>
                </w:p>
              </w:tc>
              <w:tc>
                <w:tcPr>
                  <w:tcW w:type="dxa" w:w="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60</w:t>
                  </w:r>
                </w:p>
              </w:tc>
              <w:tc>
                <w:tcPr>
                  <w:tcW w:type="dxa" w:w="3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590</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合同签订后3个月内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陕西省汉江监狱</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符合纺织行业技术质量标准，符合合同相关条款。</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双方协商解决。</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供应商为具有独立承担民事责任能力的法人或其他组织或自然人.</w:t>
            </w:r>
          </w:p>
        </w:tc>
        <w:tc>
          <w:tcPr>
            <w:tcW w:type="dxa" w:w="3322"/>
          </w:tcPr>
          <w:p>
            <w:pPr>
              <w:pStyle w:val="null3"/>
            </w:pPr>
            <w:r>
              <w:rPr>
                <w:rFonts w:ascii="仿宋_GB2312" w:hAnsi="仿宋_GB2312" w:cs="仿宋_GB2312" w:eastAsia="仿宋_GB2312"/>
              </w:rPr>
              <w:t>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营业执照.docx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法定代表人参加投标的，须提供法定代表人身份证复印件；法定代表人授权本单位他人参加投标的，须提供法定代表人授权委托书及被授权人身份证复印件。</w:t>
            </w:r>
          </w:p>
        </w:tc>
        <w:tc>
          <w:tcPr>
            <w:tcW w:type="dxa" w:w="3322"/>
          </w:tcPr>
          <w:p>
            <w:pPr>
              <w:pStyle w:val="null3"/>
            </w:pPr>
            <w:r>
              <w:rPr>
                <w:rFonts w:ascii="仿宋_GB2312" w:hAnsi="仿宋_GB2312" w:cs="仿宋_GB2312" w:eastAsia="仿宋_GB2312"/>
              </w:rPr>
              <w:t>供应商需在项目电子化交易系统中按要求填写《法定代表人授权委托书》并进行电子签章；</w:t>
            </w:r>
          </w:p>
        </w:tc>
        <w:tc>
          <w:tcPr>
            <w:tcW w:type="dxa" w:w="1661"/>
          </w:tcPr>
          <w:p>
            <w:pPr>
              <w:pStyle w:val="null3"/>
            </w:pPr>
            <w:r>
              <w:rPr>
                <w:rFonts w:ascii="仿宋_GB2312" w:hAnsi="仿宋_GB2312" w:cs="仿宋_GB2312" w:eastAsia="仿宋_GB2312"/>
              </w:rPr>
              <w:t>法人授权书.docx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w:t>
            </w:r>
          </w:p>
        </w:tc>
        <w:tc>
          <w:tcPr>
            <w:tcW w:type="dxa" w:w="3322"/>
          </w:tcPr>
          <w:p>
            <w:pPr>
              <w:pStyle w:val="null3"/>
            </w:pPr>
            <w:r>
              <w:rPr>
                <w:rFonts w:ascii="仿宋_GB2312" w:hAnsi="仿宋_GB2312" w:cs="仿宋_GB2312" w:eastAsia="仿宋_GB2312"/>
              </w:rPr>
              <w:t>提供《汉中市政府采购供应商资格承诺函》并进行电子签章；</w:t>
            </w:r>
          </w:p>
        </w:tc>
        <w:tc>
          <w:tcPr>
            <w:tcW w:type="dxa" w:w="1661"/>
          </w:tcPr>
          <w:p>
            <w:pPr>
              <w:pStyle w:val="null3"/>
            </w:pPr>
            <w:r>
              <w:rPr>
                <w:rFonts w:ascii="仿宋_GB2312" w:hAnsi="仿宋_GB2312" w:cs="仿宋_GB2312" w:eastAsia="仿宋_GB2312"/>
              </w:rPr>
              <w:t>汉中市政府采购供应商承诺函.docx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产品技术参数表 商务应答表 项目实施方案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按照采购文件要求签署、盖章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响应有效期应满足单一来源采购文件要求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报价不高于单一来源采购文件中规定的预算金额或最高限价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法律、规章、规范性文件和谈判文 件规定的其他无效情形</w:t>
            </w:r>
          </w:p>
        </w:tc>
        <w:tc>
          <w:tcPr>
            <w:tcW w:type="dxa" w:w="3322"/>
          </w:tcPr>
          <w:p>
            <w:pPr>
              <w:pStyle w:val="null3"/>
            </w:pPr>
            <w:r>
              <w:rPr>
                <w:rFonts w:ascii="仿宋_GB2312" w:hAnsi="仿宋_GB2312" w:cs="仿宋_GB2312" w:eastAsia="仿宋_GB2312"/>
              </w:rPr>
              <w:t>供应商有法律、规章、规范性文件和采购文件规定的其他无效情形，按无效响应处理。</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详见附件：法人授权书.docx</w:t>
      </w:r>
    </w:p>
    <w:p>
      <w:pPr>
        <w:pStyle w:val="null3"/>
        <w:ind w:firstLine="960"/>
      </w:pPr>
      <w:r>
        <w:rPr>
          <w:rFonts w:ascii="仿宋_GB2312" w:hAnsi="仿宋_GB2312" w:cs="仿宋_GB2312" w:eastAsia="仿宋_GB2312"/>
        </w:rPr>
        <w:t>详见附件：汉中市政府采购供应商承诺函.docx</w:t>
      </w:r>
    </w:p>
    <w:p>
      <w:pPr>
        <w:pStyle w:val="null3"/>
        <w:ind w:firstLine="960"/>
      </w:pPr>
      <w:r>
        <w:rPr>
          <w:rFonts w:ascii="仿宋_GB2312" w:hAnsi="仿宋_GB2312" w:cs="仿宋_GB2312" w:eastAsia="仿宋_GB2312"/>
        </w:rPr>
        <w:t>详见附件：营业执照.docx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详见附件：陕西省汉江监狱囚服合同.docx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