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版本号：SZY20251390069-220250928002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暑期体育馆修缮项目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SZY20251390069-2</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暑期体育馆修缮项目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SZY20251390069-2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暑期体育馆修缮项目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1.项目背景：陕西中医药大学体育馆因使用年限较长，现需对屋面结构、排水系统、室内装修等进行全面修缮，以满足体育教学及相关活动需求。 2.建设地点：陕西中医药大学校内。 3.建设规模：本项目面积4896㎡，地上一层，钢结构大跨度建筑，屋面为双层夹心彩钢板屋面。 4.项目性质：修缮工程。 5.项目投资：99.646621万元。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1、单位资质：参加本项目的供应商应具备建筑工程施工总承包资质三级及以上（含三级）资质，且具有有效的安全生产许可证。</w:t>
      </w:r>
    </w:p>
    <w:p>
      <w:pPr>
        <w:pStyle w:val="null3"/>
      </w:pPr>
      <w:r>
        <w:rPr>
          <w:rFonts w:ascii="仿宋_GB2312" w:hAnsi="仿宋_GB2312" w:cs="仿宋_GB2312" w:eastAsia="仿宋_GB2312"/>
        </w:rPr>
        <w:t>2、法定代表人身份证明/法定代表人授权书：法定代表人授权书(附法定代表人、被授权人身份证复印件及被授权人磋商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3、项目经理执业资格：供应商拟派项目经理具备合法有效的建筑工程专业二级及以上注册建造师执业资格、具有安全生产考核合格证（B证）且在本单位注册，无在建工程（提供无在建的声明函）。</w:t>
      </w:r>
    </w:p>
    <w:p>
      <w:pPr>
        <w:pStyle w:val="null3"/>
      </w:pPr>
      <w:r>
        <w:rPr>
          <w:rFonts w:ascii="仿宋_GB2312" w:hAnsi="仿宋_GB2312" w:cs="仿宋_GB2312" w:eastAsia="仿宋_GB2312"/>
        </w:rPr>
        <w:t>4、备案查询：供应商及供应商拟派项目经理须在“全国建筑市场监管公共服务平台（https://jzsc.mohurd.gov.cn/home）”可查询。</w:t>
      </w:r>
    </w:p>
    <w:p>
      <w:pPr>
        <w:pStyle w:val="null3"/>
      </w:pPr>
      <w:r>
        <w:rPr>
          <w:rFonts w:ascii="仿宋_GB2312" w:hAnsi="仿宋_GB2312" w:cs="仿宋_GB2312" w:eastAsia="仿宋_GB2312"/>
        </w:rPr>
        <w:t>5、关联关系：单位负责人为同一人或者存在直接控股、管理关系的不同供应商，不得参加同一合同项下的投标活动。</w:t>
      </w:r>
    </w:p>
    <w:p>
      <w:pPr>
        <w:pStyle w:val="null3"/>
      </w:pPr>
      <w:r>
        <w:rPr>
          <w:rFonts w:ascii="仿宋_GB2312" w:hAnsi="仿宋_GB2312" w:cs="仿宋_GB2312" w:eastAsia="仿宋_GB2312"/>
        </w:rPr>
        <w:t>6、信用记录：截止至响应文件递交截止时间之前，供应商未被列入“信用中国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pPr>
        <w:pStyle w:val="null3"/>
      </w:pPr>
      <w:r>
        <w:rPr>
          <w:rFonts w:ascii="仿宋_GB2312" w:hAnsi="仿宋_GB2312" w:cs="仿宋_GB2312" w:eastAsia="仿宋_GB2312"/>
        </w:rPr>
        <w:t>7、磋商保证金：磋商保证金缴纳凭证或担保机构出具的保函。</w:t>
      </w:r>
    </w:p>
    <w:p>
      <w:pPr>
        <w:pStyle w:val="null3"/>
      </w:pPr>
      <w:r>
        <w:rPr>
          <w:rFonts w:ascii="仿宋_GB2312" w:hAnsi="仿宋_GB2312" w:cs="仿宋_GB2312" w:eastAsia="仿宋_GB2312"/>
        </w:rPr>
        <w:t>8、非联合体：本项目不允许联合体磋商。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段晓琳、李小峰、康敏茹、张艳萍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采购包1：996,466.21元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说明：采购包 1：缴纳 中标人须在签订合同前缴纳履约保证金2万元，履约保证金形式为银行转账、电汇或银行保函。 2.收款账户： 户名：陕西中医药大学 开户行：中国银行咸阳分行 账户号：102803326631 纳税人识别号：12610000435203464U 联行号：104795030381 地址：陕西省西咸新区西咸大道 电话：38185066 3.履约保证金的退付：履约保证金在工程竣工验收合格后一次性无息退还。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 号）及发改办价格[2003]857 号文件的规定标准下浮40%收取。 本项目中标服务费按工程计取。 账户名称：华夏国际项目管理(西安）有限公司 开户银行：工行西安城南科技支行 银行账号：3700024819200130193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验收依据合同文本；国家有关的验收标准及规范；磋商文件；响应文件。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联系人：段晓琳、李小峰、康敏茹、张艳萍</w:t>
      </w:r>
    </w:p>
    <w:p>
      <w:pPr>
        <w:pStyle w:val="null3"/>
      </w:pPr>
      <w:r>
        <w:rPr>
          <w:rFonts w:ascii="仿宋_GB2312" w:hAnsi="仿宋_GB2312" w:cs="仿宋_GB2312" w:eastAsia="仿宋_GB2312"/>
        </w:rPr>
        <w:t>联系电话：029-88899970-809</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996,466.21</w:t>
      </w:r>
    </w:p>
    <w:p>
      <w:pPr>
        <w:pStyle w:val="null3"/>
      </w:pPr>
      <w:r>
        <w:rPr>
          <w:rFonts w:ascii="仿宋_GB2312" w:hAnsi="仿宋_GB2312" w:cs="仿宋_GB2312" w:eastAsia="仿宋_GB2312"/>
        </w:rPr>
        <w:t>采购包最高限价（元）: 996,466.21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陕西中医药大学暑期体育馆修缮项目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996,466.21</w:t>
            </w:r>
          </w:p>
        </w:tc>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标的名称：陕西中医药大学暑期体育馆修缮项目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05"/>
              <w:gridCol w:w="200"/>
              <w:gridCol w:w="388"/>
              <w:gridCol w:w="2924"/>
            </w:tblGrid>
            <w:tr>
              <w:tc>
                <w:tcPr>
                  <w:tcW w:type="dxa" w:w="3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right="105"/>
                    <w:jc w:val="center"/>
                  </w:pPr>
                  <w:r>
                    <w:rPr>
                      <w:rFonts w:ascii="仿宋_GB2312" w:hAnsi="仿宋_GB2312" w:cs="仿宋_GB2312" w:eastAsia="仿宋_GB2312"/>
                      <w:sz w:val="22"/>
                      <w:color w:val="000000"/>
                    </w:rPr>
                    <w:t>参数</w:t>
                  </w:r>
                  <w:r>
                    <w:rPr>
                      <w:rFonts w:ascii="仿宋_GB2312" w:hAnsi="仿宋_GB2312" w:cs="仿宋_GB2312" w:eastAsia="仿宋_GB2312"/>
                    </w:rPr>
                    <w:t xml:space="preserve"> </w:t>
                  </w:r>
                  <w:r>
                    <w:rPr>
                      <w:rFonts w:ascii="仿宋_GB2312" w:hAnsi="仿宋_GB2312" w:cs="仿宋_GB2312" w:eastAsia="仿宋_GB2312"/>
                      <w:sz w:val="22"/>
                      <w:color w:val="000000"/>
                    </w:rPr>
                    <w:t>性质</w:t>
                  </w:r>
                </w:p>
              </w:tc>
              <w:tc>
                <w:tcPr>
                  <w:tcW w:type="dxa" w:w="2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jc w:val="center"/>
                  </w:pPr>
                  <w:r>
                    <w:rPr>
                      <w:rFonts w:ascii="仿宋_GB2312" w:hAnsi="仿宋_GB2312" w:cs="仿宋_GB2312" w:eastAsia="仿宋_GB2312"/>
                      <w:sz w:val="22"/>
                      <w:color w:val="000000"/>
                    </w:rPr>
                    <w:t>序</w:t>
                  </w:r>
                  <w:r>
                    <w:rPr>
                      <w:rFonts w:ascii="仿宋_GB2312" w:hAnsi="仿宋_GB2312" w:cs="仿宋_GB2312" w:eastAsia="仿宋_GB2312"/>
                    </w:rPr>
                    <w:t xml:space="preserve"> </w:t>
                  </w:r>
                  <w:r>
                    <w:rPr>
                      <w:rFonts w:ascii="仿宋_GB2312" w:hAnsi="仿宋_GB2312" w:cs="仿宋_GB2312" w:eastAsia="仿宋_GB2312"/>
                      <w:sz w:val="22"/>
                      <w:color w:val="000000"/>
                    </w:rPr>
                    <w:t>号</w:t>
                  </w:r>
                </w:p>
              </w:tc>
              <w:tc>
                <w:tcPr>
                  <w:tcW w:type="dxa" w:w="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1"/>
                    <w:jc w:val="center"/>
                  </w:pPr>
                  <w:r>
                    <w:rPr>
                      <w:rFonts w:ascii="仿宋_GB2312" w:hAnsi="仿宋_GB2312" w:cs="仿宋_GB2312" w:eastAsia="仿宋_GB2312"/>
                      <w:sz w:val="22"/>
                      <w:color w:val="000000"/>
                    </w:rPr>
                    <w:t>技术要求名</w:t>
                  </w:r>
                  <w:r>
                    <w:rPr>
                      <w:rFonts w:ascii="仿宋_GB2312" w:hAnsi="仿宋_GB2312" w:cs="仿宋_GB2312" w:eastAsia="仿宋_GB2312"/>
                      <w:sz w:val="22"/>
                      <w:color w:val="000000"/>
                    </w:rPr>
                    <w:t>称</w:t>
                  </w:r>
                </w:p>
              </w:tc>
              <w:tc>
                <w:tcPr>
                  <w:tcW w:type="dxa" w:w="29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170"/>
                    <w:jc w:val="center"/>
                  </w:pPr>
                  <w:r>
                    <w:rPr>
                      <w:rFonts w:ascii="仿宋_GB2312" w:hAnsi="仿宋_GB2312" w:cs="仿宋_GB2312" w:eastAsia="仿宋_GB2312"/>
                      <w:sz w:val="22"/>
                      <w:color w:val="000000"/>
                    </w:rPr>
                    <w:t>技术参数与性能指标</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1</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rFonts w:ascii="仿宋_GB2312" w:hAnsi="仿宋_GB2312" w:cs="仿宋_GB2312" w:eastAsia="仿宋_GB2312"/>
                      <w:sz w:val="22"/>
                      <w:color w:val="000000"/>
                    </w:rPr>
                    <w:t>项目概况</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left"/>
                  </w:pPr>
                  <w:r>
                    <w:rPr>
                      <w:rFonts w:ascii="仿宋_GB2312" w:hAnsi="仿宋_GB2312" w:cs="仿宋_GB2312" w:eastAsia="仿宋_GB2312"/>
                      <w:sz w:val="21"/>
                      <w:color w:val="000000"/>
                    </w:rPr>
                    <w:t>1.</w:t>
                  </w:r>
                  <w:r>
                    <w:rPr>
                      <w:rFonts w:ascii="仿宋_GB2312" w:hAnsi="仿宋_GB2312" w:cs="仿宋_GB2312" w:eastAsia="仿宋_GB2312"/>
                      <w:sz w:val="22"/>
                      <w:color w:val="000000"/>
                    </w:rPr>
                    <w:t>项目背景：陕西中医药大学体育馆因使用年限较长，现需对屋面结构、排水系统、室内装修等进行全面修缮，以满足体育教学及相关活动需求。</w:t>
                  </w:r>
                </w:p>
                <w:p>
                  <w:pPr>
                    <w:pStyle w:val="null3"/>
                    <w:spacing w:before="75"/>
                    <w:ind w:left="15"/>
                    <w:jc w:val="left"/>
                  </w:pPr>
                  <w:r>
                    <w:rPr>
                      <w:rFonts w:ascii="仿宋_GB2312" w:hAnsi="仿宋_GB2312" w:cs="仿宋_GB2312" w:eastAsia="仿宋_GB2312"/>
                      <w:sz w:val="22"/>
                      <w:color w:val="000000"/>
                    </w:rPr>
                    <w:t>2.建设地点：陕西中医药大学校内。</w:t>
                  </w:r>
                </w:p>
                <w:p>
                  <w:pPr>
                    <w:pStyle w:val="null3"/>
                    <w:spacing w:before="75"/>
                    <w:ind w:left="15"/>
                    <w:jc w:val="left"/>
                  </w:pPr>
                  <w:r>
                    <w:rPr>
                      <w:rFonts w:ascii="仿宋_GB2312" w:hAnsi="仿宋_GB2312" w:cs="仿宋_GB2312" w:eastAsia="仿宋_GB2312"/>
                      <w:sz w:val="22"/>
                      <w:color w:val="000000"/>
                    </w:rPr>
                    <w:t>3.建设规模：本项目面积4896㎡，地上一层，钢结构大跨度建筑，屋面为双层夹心彩钢板屋面。</w:t>
                  </w:r>
                </w:p>
                <w:p>
                  <w:pPr>
                    <w:pStyle w:val="null3"/>
                    <w:spacing w:before="75"/>
                    <w:ind w:left="15"/>
                    <w:jc w:val="left"/>
                  </w:pPr>
                  <w:r>
                    <w:rPr>
                      <w:rFonts w:ascii="仿宋_GB2312" w:hAnsi="仿宋_GB2312" w:cs="仿宋_GB2312" w:eastAsia="仿宋_GB2312"/>
                      <w:sz w:val="22"/>
                      <w:color w:val="000000"/>
                    </w:rPr>
                    <w:t>4.项目性质：修缮工程。</w:t>
                  </w:r>
                </w:p>
                <w:p>
                  <w:pPr>
                    <w:pStyle w:val="null3"/>
                    <w:spacing w:before="75"/>
                    <w:ind w:left="15"/>
                    <w:jc w:val="left"/>
                  </w:pPr>
                  <w:r>
                    <w:rPr>
                      <w:rFonts w:ascii="仿宋_GB2312" w:hAnsi="仿宋_GB2312" w:cs="仿宋_GB2312" w:eastAsia="仿宋_GB2312"/>
                      <w:sz w:val="22"/>
                      <w:color w:val="000000"/>
                    </w:rPr>
                    <w:t>5.项目投资：99.646621万元。</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2</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采购的主要内容</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left"/>
                  </w:pPr>
                  <w:r>
                    <w:rPr>
                      <w:rFonts w:ascii="仿宋_GB2312" w:hAnsi="仿宋_GB2312" w:cs="仿宋_GB2312" w:eastAsia="仿宋_GB2312"/>
                      <w:sz w:val="22"/>
                      <w:color w:val="000000"/>
                    </w:rPr>
                    <w:t>1.施工工作：屋面排水系统更换，室内粉刷，篮球场木地板铺装，地面墙面裂缝维修，钢网架结构除锈检修，室外花坛拆除并恢复 墙面地面，室外落水管更换预留检查口修缮等。</w:t>
                  </w:r>
                </w:p>
                <w:p>
                  <w:pPr>
                    <w:pStyle w:val="null3"/>
                    <w:spacing w:before="75"/>
                    <w:ind w:left="15"/>
                    <w:jc w:val="left"/>
                  </w:pPr>
                  <w:r>
                    <w:rPr>
                      <w:rFonts w:ascii="仿宋_GB2312" w:hAnsi="仿宋_GB2312" w:cs="仿宋_GB2312" w:eastAsia="仿宋_GB2312"/>
                      <w:sz w:val="22"/>
                      <w:color w:val="000000"/>
                    </w:rPr>
                    <w:t>2.符合《建筑工程施工质量验收统一标准》(GB50300 - 2023) 等现行的工程施工及质量验收标准、规范要求。施工质量要求按国家现行相关技术要求和施工验收标准、规范及规程执行。</w:t>
                  </w:r>
                </w:p>
                <w:p>
                  <w:pPr>
                    <w:pStyle w:val="null3"/>
                    <w:spacing w:before="75"/>
                    <w:ind w:left="15"/>
                    <w:jc w:val="left"/>
                  </w:pPr>
                  <w:r>
                    <w:rPr>
                      <w:rFonts w:ascii="仿宋_GB2312" w:hAnsi="仿宋_GB2312" w:cs="仿宋_GB2312" w:eastAsia="仿宋_GB2312"/>
                      <w:sz w:val="22"/>
                      <w:color w:val="000000"/>
                    </w:rPr>
                    <w:t>3.须符合国家相关规范要求、质量合格，并通过相关产品认证。工程所用器材、设备、材料品牌及规格须满足甲方的要求，同时满足当地相关部门对设备、材料的品牌、技术要求。所有设备、材料采购质量需符合有关标准规范的要求，合格率达到 100%。其中，建筑材料应符合《建筑材料放射性核素限量》（GB 6566 - 2010）；电气设备需遵循《建筑电气工程施工质量验收规范》（GB 50303 - 2015），确保安全性与可靠性。</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3</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主要材料</w:t>
                  </w:r>
                </w:p>
                <w:p>
                  <w:pPr>
                    <w:pStyle w:val="null3"/>
                    <w:spacing w:before="75"/>
                    <w:ind w:left="120"/>
                    <w:jc w:val="center"/>
                  </w:p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1.屋面天沟，落水管：体育馆落水天沟拆除，新作不锈钢天沟及PVC落水管，不锈钢天沟0.5×0.5m,厚度3mm，规格:PVC DN150mm 。</w:t>
                  </w:r>
                </w:p>
                <w:p>
                  <w:pPr>
                    <w:pStyle w:val="null3"/>
                    <w:spacing w:before="75"/>
                    <w:ind w:left="15"/>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篮球场木</w:t>
                  </w:r>
                  <w:r>
                    <w:rPr>
                      <w:rFonts w:ascii="仿宋_GB2312" w:hAnsi="仿宋_GB2312" w:cs="仿宋_GB2312" w:eastAsia="仿宋_GB2312"/>
                      <w:sz w:val="21"/>
                      <w:color w:val="000000"/>
                    </w:rPr>
                    <w:t>地板：0.5mmPE防潮膜、减震垫、龙骨基础38*63mm松木上龙骨 (三防处理)@400mm，38*63mm松木下龙骨(三防处理)@400mm、12mm厚多层复合板基层、0.5mmPE防潮膜、面层1800*80*22 mmA级枫木实木地板(含雕刻)面层。</w:t>
                  </w:r>
                </w:p>
                <w:p>
                  <w:pPr>
                    <w:pStyle w:val="null3"/>
                    <w:spacing w:before="75"/>
                    <w:ind w:left="15"/>
                    <w:jc w:val="left"/>
                  </w:pPr>
                  <w:r>
                    <w:rPr>
                      <w:rFonts w:ascii="仿宋_GB2312" w:hAnsi="仿宋_GB2312" w:cs="仿宋_GB2312" w:eastAsia="仿宋_GB2312"/>
                      <w:sz w:val="22"/>
                      <w:color w:val="000000"/>
                    </w:rPr>
                    <w:t>3.粉刷:室内墙面铲除及新作乳胶漆墙面。</w:t>
                  </w:r>
                </w:p>
                <w:p>
                  <w:pPr>
                    <w:pStyle w:val="null3"/>
                    <w:spacing w:before="75"/>
                    <w:ind w:left="15"/>
                    <w:jc w:val="left"/>
                  </w:pPr>
                  <w:r>
                    <w:rPr>
                      <w:rFonts w:ascii="仿宋_GB2312" w:hAnsi="仿宋_GB2312" w:cs="仿宋_GB2312" w:eastAsia="仿宋_GB2312"/>
                      <w:sz w:val="22"/>
                      <w:color w:val="000000"/>
                    </w:rPr>
                    <w:t>4.室外花坛拆除及基础恢复，花木移栽，室内新做踢脚线等。</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4</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2"/>
                      <w:color w:val="000000"/>
                    </w:rPr>
                    <w:t>其它要求</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left"/>
                  </w:pPr>
                  <w:r>
                    <w:rPr>
                      <w:rFonts w:ascii="仿宋_GB2312" w:hAnsi="仿宋_GB2312" w:cs="仿宋_GB2312" w:eastAsia="仿宋_GB2312"/>
                      <w:sz w:val="22"/>
                      <w:color w:val="000000"/>
                    </w:rPr>
                    <w:t>1.供应商须在响应文件中提供详细的施工组织设计方案，包括施工进度计划、施工工艺、质量保证措施、安全文明施工措施等。</w:t>
                  </w:r>
                </w:p>
                <w:p>
                  <w:pPr>
                    <w:pStyle w:val="null3"/>
                    <w:spacing w:before="75"/>
                    <w:ind w:left="15"/>
                    <w:jc w:val="left"/>
                  </w:pPr>
                  <w:r>
                    <w:rPr>
                      <w:rFonts w:ascii="仿宋_GB2312" w:hAnsi="仿宋_GB2312" w:cs="仿宋_GB2312" w:eastAsia="仿宋_GB2312"/>
                      <w:sz w:val="22"/>
                      <w:color w:val="000000"/>
                    </w:rPr>
                    <w:t>2.供应商须在响应文件中提供主要材料和设备的品牌、规格、型号、产地等详细信息，并提供相关的质量证明文件。</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2"/>
                    </w:rPr>
                    <w:t>商务要求</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left"/>
                  </w:pPr>
                  <w:r>
                    <w:rPr>
                      <w:rFonts w:ascii="仿宋_GB2312" w:hAnsi="仿宋_GB2312" w:cs="仿宋_GB2312" w:eastAsia="仿宋_GB2312"/>
                      <w:sz w:val="22"/>
                      <w:color w:val="000000"/>
                    </w:rPr>
                    <w:t>1.工期：总工期15日历天（施工周期15天），计划开工日期以甲方通知为准。逾期违约金按合同金额的0.1%/日扣除。因非承包人原因造成工期延误，经甲方确认后，工期相应顺延。</w:t>
                  </w:r>
                </w:p>
                <w:p>
                  <w:pPr>
                    <w:pStyle w:val="null3"/>
                    <w:spacing w:before="75"/>
                    <w:ind w:left="15"/>
                    <w:jc w:val="left"/>
                  </w:pPr>
                  <w:r>
                    <w:rPr>
                      <w:rFonts w:ascii="仿宋_GB2312" w:hAnsi="仿宋_GB2312" w:cs="仿宋_GB2312" w:eastAsia="仿宋_GB2312"/>
                      <w:sz w:val="22"/>
                      <w:color w:val="000000"/>
                    </w:rPr>
                    <w:t>2.篮球专用木地板施工，定制木地板工期如果超出施工周期，提供备用临时篮球场地铺装方案。</w:t>
                  </w:r>
                </w:p>
                <w:p>
                  <w:pPr>
                    <w:pStyle w:val="null3"/>
                    <w:spacing w:before="75"/>
                    <w:ind w:left="15"/>
                    <w:jc w:val="left"/>
                  </w:pPr>
                  <w:r>
                    <w:rPr>
                      <w:rFonts w:ascii="仿宋_GB2312" w:hAnsi="仿宋_GB2312" w:cs="仿宋_GB2312" w:eastAsia="仿宋_GB2312"/>
                      <w:sz w:val="22"/>
                      <w:color w:val="000000"/>
                    </w:rPr>
                    <w:t>3.地点：陕西中医药大学。</w:t>
                  </w:r>
                </w:p>
                <w:p>
                  <w:pPr>
                    <w:pStyle w:val="null3"/>
                    <w:spacing w:before="75"/>
                    <w:ind w:left="15"/>
                    <w:jc w:val="left"/>
                  </w:pPr>
                  <w:r>
                    <w:rPr>
                      <w:rFonts w:ascii="仿宋_GB2312" w:hAnsi="仿宋_GB2312" w:cs="仿宋_GB2312" w:eastAsia="仿宋_GB2312"/>
                      <w:sz w:val="22"/>
                      <w:color w:val="000000"/>
                    </w:rPr>
                    <w:t>4.质保期：不少于2年，其中木地板、屋面防水系统质保期不少于5年，自验收合格之日起计算。在质保期内，承包人应在接到维修通知后24小时内到达现场进行维修，否则甲方有权委托第三方维修，费用由承包人承担。</w:t>
                  </w:r>
                </w:p>
                <w:p>
                  <w:pPr>
                    <w:pStyle w:val="null3"/>
                    <w:spacing w:before="75"/>
                    <w:ind w:left="15"/>
                    <w:jc w:val="left"/>
                  </w:pPr>
                  <w:r>
                    <w:rPr>
                      <w:rFonts w:ascii="仿宋_GB2312" w:hAnsi="仿宋_GB2312" w:cs="仿宋_GB2312" w:eastAsia="仿宋_GB2312"/>
                      <w:sz w:val="22"/>
                      <w:color w:val="000000"/>
                    </w:rPr>
                    <w:t>5.付款方式：</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1）工程竣工验收合格后，审计结束后支付（扣除质保金）。</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2）质保金为合同金额的3%，在质保期届满（5年）且无质量问题后一次性支付。</w:t>
                  </w:r>
                </w:p>
                <w:p>
                  <w:pPr>
                    <w:pStyle w:val="null3"/>
                    <w:spacing w:before="75"/>
                    <w:ind w:left="15"/>
                    <w:jc w:val="left"/>
                  </w:pPr>
                  <w:r>
                    <w:rPr>
                      <w:rFonts w:ascii="仿宋_GB2312" w:hAnsi="仿宋_GB2312" w:cs="仿宋_GB2312" w:eastAsia="仿宋_GB2312"/>
                      <w:sz w:val="22"/>
                      <w:color w:val="000000"/>
                    </w:rPr>
                    <w:t>6. 履约保证金：中标人须在签订合同前缴纳履约保证金2万元，履约保证金形式为银行转账、电汇或银行保函。履约保证金在工程竣工验收合格后一次性无息退还。</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2"/>
                    </w:rPr>
                    <w:t>质量保证</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left"/>
                  </w:pPr>
                  <w:r>
                    <w:rPr>
                      <w:rFonts w:ascii="仿宋_GB2312" w:hAnsi="仿宋_GB2312" w:cs="仿宋_GB2312" w:eastAsia="仿宋_GB2312"/>
                      <w:sz w:val="22"/>
                      <w:color w:val="000000"/>
                    </w:rPr>
                    <w:t>1.质量标准：</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1）《建筑工程施工质量验收统一标准》(GB50300-2023)。</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2）中华人民共和国建筑工业行业标准:《空间网格结构技术规 程》（JGJ 7-2010）。</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3）本工程质量标准为《体育馆用木质地板》（GB/T 20239-2023）， 主材产品合格证、检验报告。</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 验收须符合《建筑工程施工质量验收统一标准》（GB50300-2023）及陕西省地方标准《建筑装饰装修工程质量验收规》（DBJ61/T134）。</w:t>
                  </w:r>
                </w:p>
                <w:p>
                  <w:pPr>
                    <w:pStyle w:val="null3"/>
                    <w:spacing w:before="75"/>
                    <w:ind w:left="15"/>
                    <w:jc w:val="left"/>
                  </w:pPr>
                  <w:r>
                    <w:rPr>
                      <w:rFonts w:ascii="仿宋_GB2312" w:hAnsi="仿宋_GB2312" w:cs="仿宋_GB2312" w:eastAsia="仿宋_GB2312"/>
                      <w:sz w:val="22"/>
                      <w:color w:val="000000"/>
                    </w:rPr>
                    <w:t>2. 验收流程：</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1）承包人应在工程完工后，向甲方提交竣工验收申请报告。</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2）甲方收到竣工验收申请报告后，应在15日内组织设计、施工、监理等单位进行竣工验收。</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3）竣工验收合格后，承包人应在30日内将工程档案资料移交甲方。</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4）验收不合格的，承包人应在甲方规定的时间内进行整改，整改完毕后重新申请验收。</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7</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安全文明施工</w:t>
                  </w: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left"/>
                  </w:pPr>
                  <w:r>
                    <w:rPr>
                      <w:rFonts w:ascii="仿宋_GB2312" w:hAnsi="仿宋_GB2312" w:cs="仿宋_GB2312" w:eastAsia="仿宋_GB2312"/>
                      <w:sz w:val="21"/>
                      <w:color w:val="000000"/>
                    </w:rPr>
                    <w:t xml:space="preserve"> </w:t>
                  </w:r>
                </w:p>
                <w:p>
                  <w:pPr>
                    <w:pStyle w:val="null3"/>
                    <w:spacing w:before="75"/>
                    <w:ind w:left="15"/>
                    <w:jc w:val="left"/>
                  </w:pPr>
                  <w:r>
                    <w:rPr>
                      <w:rFonts w:ascii="仿宋_GB2312" w:hAnsi="仿宋_GB2312" w:cs="仿宋_GB2312" w:eastAsia="仿宋_GB2312"/>
                      <w:sz w:val="22"/>
                      <w:color w:val="000000"/>
                    </w:rPr>
                    <w:t>1.承包人须严格遵守国家和地方有关安全生产、文明施工的法律法规和规章制度，制定安全生产和文明施工方案，并报甲方和监理单位审批。</w:t>
                  </w:r>
                </w:p>
                <w:p>
                  <w:pPr>
                    <w:pStyle w:val="null3"/>
                    <w:spacing w:before="75"/>
                    <w:ind w:left="15"/>
                    <w:jc w:val="left"/>
                  </w:pPr>
                  <w:r>
                    <w:rPr>
                      <w:rFonts w:ascii="仿宋_GB2312" w:hAnsi="仿宋_GB2312" w:cs="仿宋_GB2312" w:eastAsia="仿宋_GB2312"/>
                      <w:sz w:val="22"/>
                      <w:color w:val="000000"/>
                    </w:rPr>
                    <w:t>2.承包人须为施工现场的所有人员办理意外伤害保险，确保施工安全。</w:t>
                  </w:r>
                </w:p>
                <w:p>
                  <w:pPr>
                    <w:pStyle w:val="null3"/>
                    <w:spacing w:before="75"/>
                    <w:ind w:left="15"/>
                    <w:jc w:val="left"/>
                  </w:pPr>
                  <w:r>
                    <w:rPr>
                      <w:rFonts w:ascii="仿宋_GB2312" w:hAnsi="仿宋_GB2312" w:cs="仿宋_GB2312" w:eastAsia="仿宋_GB2312"/>
                      <w:sz w:val="22"/>
                      <w:color w:val="000000"/>
                    </w:rPr>
                    <w:t>3.施工现场须设置明显的安全警示标志，采取必要的安全防护措施，确保施工人员和周边人员的安全。</w:t>
                  </w:r>
                </w:p>
                <w:p>
                  <w:pPr>
                    <w:pStyle w:val="null3"/>
                    <w:spacing w:before="75"/>
                    <w:ind w:left="15"/>
                    <w:jc w:val="left"/>
                  </w:pPr>
                  <w:r>
                    <w:rPr>
                      <w:rFonts w:ascii="仿宋_GB2312" w:hAnsi="仿宋_GB2312" w:cs="仿宋_GB2312" w:eastAsia="仿宋_GB2312"/>
                      <w:sz w:val="22"/>
                      <w:color w:val="000000"/>
                    </w:rPr>
                    <w:t>4.承包人须保持施工现场的整洁卫生，及时清理施工垃圾，做到工完场清。</w:t>
                  </w:r>
                </w:p>
                <w:p>
                  <w:pPr>
                    <w:pStyle w:val="null3"/>
                    <w:spacing w:before="75"/>
                    <w:ind w:left="15"/>
                    <w:jc w:val="left"/>
                  </w:pPr>
                  <w:r>
                    <w:rPr>
                      <w:rFonts w:ascii="仿宋_GB2312" w:hAnsi="仿宋_GB2312" w:cs="仿宋_GB2312" w:eastAsia="仿宋_GB2312"/>
                      <w:sz w:val="22"/>
                      <w:color w:val="000000"/>
                    </w:rPr>
                    <w:t>5.施工期间，承包人须遵守甲方的校园管理规定，不得影响学校的正常教学秩序。</w:t>
                  </w:r>
                </w:p>
              </w:tc>
            </w:tr>
            <w:tr>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8</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环境保护要求</w:t>
                  </w:r>
                </w:p>
                <w:p>
                  <w:pPr>
                    <w:pStyle w:val="null3"/>
                    <w:spacing w:before="75"/>
                    <w:ind w:left="120"/>
                    <w:jc w:val="center"/>
                  </w:pPr>
                </w:p>
              </w:tc>
              <w:tc>
                <w:tcPr>
                  <w:tcW w:type="dxa" w:w="2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1.承包人须采取有效的环境保护措施，减少施工过程中产生的噪声、粉尘、废水等污染物对周边环境的影响。</w:t>
                  </w:r>
                </w:p>
                <w:p>
                  <w:pPr>
                    <w:pStyle w:val="null3"/>
                    <w:spacing w:before="75"/>
                    <w:ind w:left="15"/>
                    <w:jc w:val="left"/>
                  </w:pPr>
                  <w:r>
                    <w:rPr>
                      <w:rFonts w:ascii="仿宋_GB2312" w:hAnsi="仿宋_GB2312" w:cs="仿宋_GB2312" w:eastAsia="仿宋_GB2312"/>
                      <w:sz w:val="22"/>
                      <w:color w:val="000000"/>
                    </w:rPr>
                    <w:t>2.施工噪声应符合《建筑施工场界环境噪声排放标准》（ GB12523-2011 ）的要求，在夜间（22:00-6:00）和午休时间</w:t>
                  </w:r>
                </w:p>
                <w:p>
                  <w:pPr>
                    <w:pStyle w:val="null3"/>
                    <w:spacing w:before="75"/>
                    <w:ind w:left="1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12:00-14:30）不得进行产生噪声的施工活动。</w:t>
                  </w:r>
                </w:p>
                <w:p>
                  <w:pPr>
                    <w:pStyle w:val="null3"/>
                    <w:spacing w:before="75"/>
                    <w:ind w:left="15"/>
                    <w:jc w:val="left"/>
                  </w:pPr>
                  <w:r>
                    <w:rPr>
                      <w:rFonts w:ascii="仿宋_GB2312" w:hAnsi="仿宋_GB2312" w:cs="仿宋_GB2312" w:eastAsia="仿宋_GB2312"/>
                      <w:sz w:val="22"/>
                      <w:color w:val="000000"/>
                    </w:rPr>
                    <w:t>3.施工粉尘应采取洒水、覆盖等措施进行控制，确保施工现场周边的空气质量符合国家相关标准。</w:t>
                  </w:r>
                </w:p>
                <w:p>
                  <w:pPr>
                    <w:pStyle w:val="null3"/>
                    <w:spacing w:before="75"/>
                    <w:ind w:left="15"/>
                    <w:jc w:val="left"/>
                  </w:pPr>
                  <w:r>
                    <w:rPr>
                      <w:rFonts w:ascii="仿宋_GB2312" w:hAnsi="仿宋_GB2312" w:cs="仿宋_GB2312" w:eastAsia="仿宋_GB2312"/>
                      <w:sz w:val="22"/>
                      <w:color w:val="000000"/>
                    </w:rPr>
                    <w:t>4.施工废水应经处理达标后排放，不得直接排入下水道或周边水体。</w:t>
                  </w:r>
                </w:p>
                <w:p>
                  <w:pPr>
                    <w:pStyle w:val="null3"/>
                    <w:spacing w:before="75"/>
                    <w:ind w:left="15"/>
                    <w:jc w:val="left"/>
                  </w:pPr>
                  <w:r>
                    <w:rPr>
                      <w:rFonts w:ascii="仿宋_GB2312" w:hAnsi="仿宋_GB2312" w:cs="仿宋_GB2312" w:eastAsia="仿宋_GB2312"/>
                      <w:sz w:val="22"/>
                      <w:color w:val="000000"/>
                    </w:rPr>
                    <w:t>5.施工过程中产生的固体废弃物应分类收集、处理，不得随意倾倒。</w:t>
                  </w:r>
                  <w:r>
                    <w:rPr>
                      <w:rFonts w:ascii="仿宋_GB2312" w:hAnsi="仿宋_GB2312" w:cs="仿宋_GB2312" w:eastAsia="仿宋_GB2312"/>
                      <w:sz w:val="21"/>
                      <w:color w:val="000000"/>
                    </w:rPr>
                    <w:t xml:space="preserve"> </w:t>
                  </w:r>
                </w:p>
              </w:tc>
            </w:tr>
          </w:tbl>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供应商针对本项目的施工，必须达到国家及行业现行技术规范标准，符合国家及行</w:t>
            </w:r>
            <w:r>
              <w:rPr>
                <w:rFonts w:ascii="仿宋_GB2312" w:hAnsi="仿宋_GB2312" w:cs="仿宋_GB2312" w:eastAsia="仿宋_GB2312"/>
                <w:sz w:val="24"/>
                <w:color w:val="000000"/>
              </w:rPr>
              <w:t>业验收合格标准：</w:t>
            </w:r>
          </w:p>
          <w:p>
            <w:pPr>
              <w:pStyle w:val="null3"/>
              <w:jc w:val="left"/>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符合国家现行有关施工质量验收规范</w:t>
            </w:r>
            <w:r>
              <w:rPr>
                <w:rFonts w:ascii="仿宋_GB2312" w:hAnsi="仿宋_GB2312" w:cs="仿宋_GB2312" w:eastAsia="仿宋_GB2312"/>
                <w:sz w:val="24"/>
                <w:color w:val="000000"/>
              </w:rPr>
              <w:t>“合格”要求。</w:t>
            </w:r>
          </w:p>
          <w:p>
            <w:pPr>
              <w:pStyle w:val="null3"/>
              <w:ind w:firstLine="488"/>
              <w:jc w:val="left"/>
            </w:pPr>
            <w:r>
              <w:rPr>
                <w:rFonts w:ascii="仿宋_GB2312" w:hAnsi="仿宋_GB2312" w:cs="仿宋_GB2312" w:eastAsia="仿宋_GB2312"/>
                <w:sz w:val="24"/>
                <w:color w:val="000000"/>
              </w:rPr>
              <w:t>三、针对本项</w:t>
            </w:r>
            <w:r>
              <w:rPr>
                <w:rFonts w:ascii="仿宋_GB2312" w:hAnsi="仿宋_GB2312" w:cs="仿宋_GB2312" w:eastAsia="仿宋_GB2312"/>
                <w:sz w:val="24"/>
                <w:color w:val="000000"/>
              </w:rPr>
              <w:t>目的其他技术服务要求：</w:t>
            </w:r>
            <w:r>
              <w:rPr>
                <w:rFonts w:ascii="仿宋_GB2312" w:hAnsi="仿宋_GB2312" w:cs="仿宋_GB2312" w:eastAsia="仿宋_GB2312"/>
                <w:sz w:val="24"/>
                <w:color w:val="000000"/>
              </w:rPr>
              <w:t>/</w:t>
            </w:r>
          </w:p>
          <w:p>
            <w:pPr>
              <w:pStyle w:val="null3"/>
              <w:ind w:firstLine="476"/>
              <w:jc w:val="left"/>
            </w:pPr>
            <w:r>
              <w:rPr>
                <w:rFonts w:ascii="仿宋_GB2312" w:hAnsi="仿宋_GB2312" w:cs="仿宋_GB2312" w:eastAsia="仿宋_GB2312"/>
                <w:sz w:val="24"/>
                <w:color w:val="000000"/>
              </w:rPr>
              <w:t>四、工</w:t>
            </w:r>
            <w:r>
              <w:rPr>
                <w:rFonts w:ascii="仿宋_GB2312" w:hAnsi="仿宋_GB2312" w:cs="仿宋_GB2312" w:eastAsia="仿宋_GB2312"/>
                <w:sz w:val="24"/>
                <w:color w:val="000000"/>
              </w:rPr>
              <w:t>程量清单</w:t>
            </w:r>
            <w:r>
              <w:rPr>
                <w:rFonts w:ascii="仿宋_GB2312" w:hAnsi="仿宋_GB2312" w:cs="仿宋_GB2312" w:eastAsia="仿宋_GB2312"/>
                <w:sz w:val="24"/>
                <w:color w:val="000000"/>
              </w:rPr>
              <w:t>(详见附件)</w:t>
            </w:r>
          </w:p>
          <w:p>
            <w:pPr>
              <w:pStyle w:val="null3"/>
              <w:jc w:val="left"/>
            </w:pPr>
            <w:r>
              <w:rPr>
                <w:rFonts w:ascii="仿宋_GB2312" w:hAnsi="仿宋_GB2312" w:cs="仿宋_GB2312" w:eastAsia="仿宋_GB2312"/>
                <w:sz w:val="24"/>
                <w:color w:val="000000"/>
              </w:rPr>
              <w:t>（说明：工程量清单应当结合《政府采购需求管理办法》（财库〔</w:t>
            </w:r>
            <w:r>
              <w:rPr>
                <w:rFonts w:ascii="仿宋_GB2312" w:hAnsi="仿宋_GB2312" w:cs="仿宋_GB2312" w:eastAsia="仿宋_GB2312"/>
                <w:sz w:val="24"/>
                <w:color w:val="000000"/>
              </w:rPr>
              <w:t>2021〕22 号）第六条第二款规定，明确相关性能、材料、结构、外观、安全、标准等。）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一、清单编制说明及依据： 1.1工程概况：项目名称：陕西中医药大学暑期体育馆修缮项目； 工程内容详见工程量清单。 1.2编制依据： 1、陕西中医药大学暑期体育馆修缮项目施工图纸； 2、正常的施工组织及施工工艺与方法； 3、国家和陕西省现行法律法规及行业规范； 4、房屋建筑与装饰工程工程量计算标准（2025） 5、通用安装工程工程量计算标准（2025） 6、园林绿化工程工程量计算标准（2025） 7、市政工程工程量计算标准（2025） 8、陕西省建设工程工程量清单计价计算标准(2025)； 9、陕西省房屋建筑与装饰工程基价表(2025)； 10、陕西省通用安装工程基价表(2025)； 11、陕西省市政工程基价表(2025) 12、陕西省园林绿化工程基价表(2025) 13、人工费：陕西省建设工程费用规则（2025） 14、税金：按国家规定的增值税税率计算； 15、主要材料价格执行咸阳市工程造价信息2025年第四期信息价及市场调研价； 16、采用广联达云计价平台GCCP7.5000.23.1版本编制。 17、暂列金按分部分项工程项目费的5%参考计入，费用为33950.01元。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供应商在项目电子化交易系统中按要求上传相应证明文件并进行电子签章。 1.提供合格有效的法人或者其他组织的营业执照等证明文件，自然人的身份证明；供应商是法人或其他组织的应提供营业执照等证明文件，供应商是自然人的应提供有效的自然人身份证明。 2.财务状况证明：提供【2024年度经审计的已赋码且完整的财务报告；（成立时间至提交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3.提供具有履行合同所必需的设备和专业技术能力的承诺。 4.税收缴纳证明：提供投标截止日前一年内已缴纳的至少一个月的纳税证明或完税证明，依法免税的单位应提供相关证明材料。 5.社会保障资金缴纳证明：提供投标截止日前一年内已缴存的至少一个月的社会保障资金缴存单据或社保机构开具的社会保险参保缴费情况证明，依法不需要缴纳社会保障资金的单位应提供相关证明材料。 6.供应商应出具参加政府采购活动前3年内在经营活动中没有重大违法记录的书面声明。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第三部分资格标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已赋码且完整的财务报告；（成立时间至提交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第三部分资格标</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第三部分资格标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单位资质</w:t>
            </w:r>
          </w:p>
        </w:tc>
        <w:tc>
          <w:tcPr>
            <w:tcW w:type="dxa" w:w="3322"/>
          </w:tcPr>
          <w:p>
            <w:pPr>
              <w:pStyle w:val="null3"/>
            </w:pPr>
            <w:r>
              <w:rPr>
                <w:rFonts w:ascii="仿宋_GB2312" w:hAnsi="仿宋_GB2312" w:cs="仿宋_GB2312" w:eastAsia="仿宋_GB2312"/>
              </w:rPr>
              <w:t>参加本项目的供应商应具备建筑工程施工总承包资质三级及以上（含三级）资质，且具有有效的安全生产许可证。</w:t>
            </w:r>
          </w:p>
        </w:tc>
        <w:tc>
          <w:tcPr>
            <w:tcW w:type="dxa" w:w="1661"/>
          </w:tcPr>
          <w:p>
            <w:pPr>
              <w:pStyle w:val="null3"/>
            </w:pPr>
            <w:r>
              <w:rPr>
                <w:rFonts w:ascii="仿宋_GB2312" w:hAnsi="仿宋_GB2312" w:cs="仿宋_GB2312" w:eastAsia="仿宋_GB2312"/>
              </w:rPr>
              <w:t>第三部分资格标</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第三部分资格标</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项目经理执业资格</w:t>
            </w:r>
          </w:p>
        </w:tc>
        <w:tc>
          <w:tcPr>
            <w:tcW w:type="dxa" w:w="3322"/>
          </w:tcPr>
          <w:p>
            <w:pPr>
              <w:pStyle w:val="null3"/>
            </w:pPr>
            <w:r>
              <w:rPr>
                <w:rFonts w:ascii="仿宋_GB2312" w:hAnsi="仿宋_GB2312" w:cs="仿宋_GB2312" w:eastAsia="仿宋_GB2312"/>
              </w:rPr>
              <w:t>供应商拟派项目经理具备合法有效的建筑工程专业二级及以上注册建造师执业资格、具有安全生产考核合格证（B证）且在本单位注册，无在建工程（提供无在建的声明函）。</w:t>
            </w:r>
          </w:p>
        </w:tc>
        <w:tc>
          <w:tcPr>
            <w:tcW w:type="dxa" w:w="1661"/>
          </w:tcPr>
          <w:p>
            <w:pPr>
              <w:pStyle w:val="null3"/>
            </w:pPr>
            <w:r>
              <w:rPr>
                <w:rFonts w:ascii="仿宋_GB2312" w:hAnsi="仿宋_GB2312" w:cs="仿宋_GB2312" w:eastAsia="仿宋_GB2312"/>
              </w:rPr>
              <w:t>项目管理机构组成表 第三部分资格标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备案查询</w:t>
            </w:r>
          </w:p>
        </w:tc>
        <w:tc>
          <w:tcPr>
            <w:tcW w:type="dxa" w:w="3322"/>
          </w:tcPr>
          <w:p>
            <w:pPr>
              <w:pStyle w:val="null3"/>
            </w:pPr>
            <w:r>
              <w:rPr>
                <w:rFonts w:ascii="仿宋_GB2312" w:hAnsi="仿宋_GB2312" w:cs="仿宋_GB2312" w:eastAsia="仿宋_GB2312"/>
              </w:rPr>
              <w:t>供应商及供应商拟派项目经理须在“全国建筑市场监管公共服务平台（https://jzsc.mohurd.gov.cn/home）”可查询。</w:t>
            </w:r>
          </w:p>
        </w:tc>
        <w:tc>
          <w:tcPr>
            <w:tcW w:type="dxa" w:w="1661"/>
          </w:tcPr>
          <w:p>
            <w:pPr>
              <w:pStyle w:val="null3"/>
            </w:pPr>
            <w:r>
              <w:rPr>
                <w:rFonts w:ascii="仿宋_GB2312" w:hAnsi="仿宋_GB2312" w:cs="仿宋_GB2312" w:eastAsia="仿宋_GB2312"/>
              </w:rPr>
              <w:t>第三部分资格标</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第三部分资格标</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截止至响应文件递交截止时间之前，供应商未被列入“信用中国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第三部分资格标</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w:t>
            </w:r>
          </w:p>
        </w:tc>
        <w:tc>
          <w:tcPr>
            <w:tcW w:type="dxa" w:w="1661"/>
          </w:tcPr>
          <w:p>
            <w:pPr>
              <w:pStyle w:val="null3"/>
            </w:pPr>
            <w:r>
              <w:rPr>
                <w:rFonts w:ascii="仿宋_GB2312" w:hAnsi="仿宋_GB2312" w:cs="仿宋_GB2312" w:eastAsia="仿宋_GB2312"/>
              </w:rPr>
              <w:t>第三部分资格标</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本项目不允许联合体磋商。</w:t>
            </w:r>
          </w:p>
        </w:tc>
        <w:tc>
          <w:tcPr>
            <w:tcW w:type="dxa" w:w="1661"/>
          </w:tcPr>
          <w:p>
            <w:pPr>
              <w:pStyle w:val="null3"/>
            </w:pPr>
            <w:r>
              <w:rPr>
                <w:rFonts w:ascii="仿宋_GB2312" w:hAnsi="仿宋_GB2312" w:cs="仿宋_GB2312" w:eastAsia="仿宋_GB2312"/>
              </w:rPr>
              <w:t>第三部分资格标</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工程质量或者不能诚信履约的，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 电子印章，在磋商小组要求的时间内通过 项目电子化交易系统进行提交，否则提交的相关证明材料无效。供应商不能证明其投标报价合理性的，评标委会应当将其响应文件作为无效处理。</w:t>
            </w:r>
          </w:p>
        </w:tc>
        <w:tc>
          <w:tcPr>
            <w:tcW w:type="dxa" w:w="1661"/>
          </w:tcPr>
          <w:p>
            <w:pPr>
              <w:pStyle w:val="null3"/>
            </w:pPr>
            <w:r>
              <w:rPr>
                <w:rFonts w:ascii="仿宋_GB2312" w:hAnsi="仿宋_GB2312" w:cs="仿宋_GB2312" w:eastAsia="仿宋_GB2312"/>
              </w:rPr>
              <w:t>第一部分商务标.docx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第一部分商务标.docx 已标价工程量清单 中小企业声明函 技术服务合同条款及其他商务要求应答表 第二部分技术标 强制优先采购产品承诺函 响应文件封面 项目管理机构组成表 残疾人福利性单位声明函 报价函 第三部分资格标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第一部分商务标.docx 已标价工程量清单 中小企业声明函 技术服务合同条款及其他商务要求应答表 第二部分技术标 强制优先采购产品承诺函 响应文件封面 项目管理机构组成表 残疾人福利性单位声明函 报价函 第三部分资格标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只能有一个有效报价，不得提交选择性报价，且报价不超过采购预算金额或最高限价及工程量清单单价最高限价。</w:t>
            </w:r>
          </w:p>
        </w:tc>
        <w:tc>
          <w:tcPr>
            <w:tcW w:type="dxa" w:w="1661"/>
          </w:tcPr>
          <w:p>
            <w:pPr>
              <w:pStyle w:val="null3"/>
            </w:pPr>
            <w:r>
              <w:rPr>
                <w:rFonts w:ascii="仿宋_GB2312" w:hAnsi="仿宋_GB2312" w:cs="仿宋_GB2312" w:eastAsia="仿宋_GB2312"/>
              </w:rPr>
              <w:t>第一部分商务标.docx 已标价工程量清单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工期达到磋商文件要求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质保期达到磋商文件要求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第一部分商务标.docx 已标价工程量清单 中小企业声明函 技术服务合同条款及其他商务要求应答表 第二部分技术标 强制优先采购产品承诺函 响应文件封面 项目管理机构组成表 残疾人福利性单位声明函 报价函 第三部分资格标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详细评审30.00分</w:t>
            </w:r>
          </w:p>
          <w:p>
            <w:pPr>
              <w:pStyle w:val="null3"/>
            </w:pPr>
            <w:r>
              <w:rPr>
                <w:rFonts w:ascii="仿宋_GB2312" w:hAnsi="仿宋_GB2312" w:cs="仿宋_GB2312" w:eastAsia="仿宋_GB2312"/>
              </w:rPr>
              <w:t>报价得分70.00分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A.实施方案非常详细并且完整可行、有针对性，完全满足项目实施的得2分； B.实施方案基本可行，基本满足项目实施需要的得1分;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第二部分技术标</w:t>
            </w:r>
          </w:p>
          <w:p>
            <w:pPr>
              <w:pStyle w:val="null3"/>
            </w:pPr>
            <w:r>
              <w:rPr>
                <w:rFonts w:ascii="仿宋_GB2312" w:hAnsi="仿宋_GB2312" w:cs="仿宋_GB2312" w:eastAsia="仿宋_GB2312"/>
              </w:rPr>
              <w:t>第一部分商务标.docx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根据供应商制定的确保工程质量及工期的技术组织措施进行综合评审。 A.措施计划齐全、合理且切实可行，完全满足采购人需求得2分； B.措施计划较齐全、合理、基本可行，基本满足采购人需求得1分；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第二部分技术标</w:t>
            </w:r>
          </w:p>
          <w:p>
            <w:pPr>
              <w:pStyle w:val="null3"/>
            </w:pPr>
            <w:r>
              <w:rPr>
                <w:rFonts w:ascii="仿宋_GB2312" w:hAnsi="仿宋_GB2312" w:cs="仿宋_GB2312" w:eastAsia="仿宋_GB2312"/>
              </w:rPr>
              <w:t>第一部分商务标.docx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A.措施计划齐全、合理且切实可行，完全满足采购人需求得2分； B.措施计划较齐全、合理、基本可行，基本满足采购人需求得1分；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第二部分技术标</w:t>
            </w:r>
          </w:p>
          <w:p>
            <w:pPr>
              <w:pStyle w:val="null3"/>
            </w:pPr>
            <w:r>
              <w:rPr>
                <w:rFonts w:ascii="仿宋_GB2312" w:hAnsi="仿宋_GB2312" w:cs="仿宋_GB2312" w:eastAsia="仿宋_GB2312"/>
              </w:rPr>
              <w:t>第一部分商务标.docx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根据供应商投入的施工机械配备和材料投入计划等进行评审。 A.施工机械配备合理并提供设备来源证明材料，投投入材料环保性达到国家标准得2分； B.施工机械配备和材料投入计划基本合理、可行，得1分；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第二部分技术标</w:t>
            </w:r>
          </w:p>
          <w:p>
            <w:pPr>
              <w:pStyle w:val="null3"/>
            </w:pPr>
            <w:r>
              <w:rPr>
                <w:rFonts w:ascii="仿宋_GB2312" w:hAnsi="仿宋_GB2312" w:cs="仿宋_GB2312" w:eastAsia="仿宋_GB2312"/>
              </w:rPr>
              <w:t>第一部分商务标.docx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供应商就本项目劳动力安排计划及劳务分包情况表，根据合理、可行程度进行评审。 A.劳动力安排计划及劳务分包合理、可行，得2分； B.劳动力安排计划及劳务分包基本可行，得1分； C.未提供得0分。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第二部分技术标</w:t>
            </w:r>
          </w:p>
          <w:p>
            <w:pPr>
              <w:pStyle w:val="null3"/>
            </w:pPr>
            <w:r>
              <w:rPr>
                <w:rFonts w:ascii="仿宋_GB2312" w:hAnsi="仿宋_GB2312" w:cs="仿宋_GB2312" w:eastAsia="仿宋_GB2312"/>
              </w:rPr>
              <w:t>第一部分商务标.docx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1.拟派项目经理具备高级职称证书得2.5分，具备中级职称证书得1分； 2.除项目经理外其他组织人员，具备施工员证书得1.5分，具备资料员证书得1.5分，具备安全员证书得1.5分，具备造价员证书得1.5分，具备质量员证书得1.5分（同一人员具备多项证书按一个证书计分）。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第二部分技术标</w:t>
            </w:r>
          </w:p>
          <w:p>
            <w:pPr>
              <w:pStyle w:val="null3"/>
            </w:pPr>
            <w:r>
              <w:rPr>
                <w:rFonts w:ascii="仿宋_GB2312" w:hAnsi="仿宋_GB2312" w:cs="仿宋_GB2312" w:eastAsia="仿宋_GB2312"/>
              </w:rPr>
              <w:t>第一部分商务标.docx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9月至磋商截止时间前同类施工项目业绩；每提供1份计2分，最高得10分。业绩证明（以合同或中标通知书为准，须在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第二部分技术标</w:t>
            </w:r>
          </w:p>
          <w:p>
            <w:pPr>
              <w:pStyle w:val="null3"/>
            </w:pPr>
            <w:r>
              <w:rPr>
                <w:rFonts w:ascii="仿宋_GB2312" w:hAnsi="仿宋_GB2312" w:cs="仿宋_GB2312" w:eastAsia="仿宋_GB2312"/>
              </w:rPr>
              <w:t>第一部分商务标.docx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1、经初审合格的响应文件，其磋商报价为有效磋商报价，对符合政策性扣减的供应商的有效磋商报价进行政策性扣减，并依据扣减后的价格（评审价格）进行价格评审。 2、满足磋商文件要求且最终有效最低报价为磋商基准价。 3、磋商报价按（磋商基准价/有效磋商报价）×70的公式计算其得分。 4、磋商报价不完整的，不进入磋商基准价的计算，本项得0分。 5、备注：本项目先评技术，后评商务（报价评审）。</w:t>
            </w:r>
          </w:p>
        </w:tc>
        <w:tc>
          <w:tcPr>
            <w:tcW w:type="dxa" w:w="831"/>
          </w:tcPr>
          <w:p>
            <w:pPr>
              <w:pStyle w:val="null3"/>
              <w:jc w:val="right"/>
            </w:pPr>
            <w:r>
              <w:rPr>
                <w:rFonts w:ascii="仿宋_GB2312" w:hAnsi="仿宋_GB2312" w:cs="仿宋_GB2312" w:eastAsia="仿宋_GB2312"/>
              </w:rPr>
              <w:t>70.0000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第一部分商务标.docx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详见附件：第一部分商务标.docx</w:t>
      </w:r>
    </w:p>
    <w:p>
      <w:pPr>
        <w:pStyle w:val="null3"/>
        <w:ind w:firstLine="960"/>
      </w:pPr>
      <w:r>
        <w:rPr>
          <w:rFonts w:ascii="仿宋_GB2312" w:hAnsi="仿宋_GB2312" w:cs="仿宋_GB2312" w:eastAsia="仿宋_GB2312"/>
        </w:rPr>
        <w:t>详见附件：第二部分技术标</w:t>
      </w:r>
    </w:p>
    <w:p>
      <w:pPr>
        <w:pStyle w:val="null3"/>
        <w:ind w:firstLine="960"/>
      </w:pPr>
      <w:r>
        <w:rPr>
          <w:rFonts w:ascii="仿宋_GB2312" w:hAnsi="仿宋_GB2312" w:cs="仿宋_GB2312" w:eastAsia="仿宋_GB2312"/>
        </w:rPr>
        <w:t>详见附件：第三部分资格标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