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版本号：ZMZB2025YDDX-35120250926001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逻辑矩阵验证系统采购项目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ZMZB2025YDDX-351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逻辑矩阵验证系统采购项目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ZMZB2025YDDX-351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逻辑矩阵验证系统采购项目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逻辑矩阵验证系统采购项目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6、投标人应出具参加采购活动前3年内在经营活动中没有重大违法记录的书面声明：投标人应出具参加采购活动前3年内在经营活动中没有重大违法记录的书面声明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逻辑矩阵验证系统采购项目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3,350,000.00</w:t>
      </w:r>
    </w:p>
    <w:p>
      <w:pPr>
        <w:pStyle w:val="null3"/>
      </w:pPr>
      <w:r>
        <w:rPr>
          <w:rFonts w:ascii="仿宋_GB2312" w:hAnsi="仿宋_GB2312" w:cs="仿宋_GB2312" w:eastAsia="仿宋_GB2312"/>
        </w:rPr>
        <w:t>采购包最高限价（元）: 3,350,000.00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逻辑矩阵验证系统采购项目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标的名称：逻辑矩阵验证系统采购项目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★1、硬件资源：板载FPGA数量≤8颗，</w:t>
            </w:r>
            <w:r>
              <w:rPr>
                <w:rFonts w:ascii="仿宋_GB2312" w:hAnsi="仿宋_GB2312" w:cs="仿宋_GB2312" w:eastAsia="仿宋_GB2312"/>
                <w:sz w:val="21"/>
              </w:rPr>
              <w:t>≥</w:t>
            </w:r>
            <w:r>
              <w:rPr>
                <w:rFonts w:ascii="仿宋_GB2312" w:hAnsi="仿宋_GB2312" w:cs="仿宋_GB2312" w:eastAsia="仿宋_GB2312"/>
                <w:sz w:val="21"/>
              </w:rPr>
              <w:t>4亿逻辑门的设计验证的需求；</w:t>
            </w:r>
          </w:p>
          <w:p>
            <w:pPr>
              <w:pStyle w:val="null3"/>
              <w:jc w:val="both"/>
            </w:pPr>
            <w:r>
              <w:rPr>
                <w:rFonts w:ascii="仿宋_GB2312" w:hAnsi="仿宋_GB2312" w:cs="仿宋_GB2312" w:eastAsia="仿宋_GB2312"/>
                <w:sz w:val="21"/>
              </w:rPr>
              <w:t>2、提供≥3400Mb内存；</w:t>
            </w:r>
          </w:p>
          <w:p>
            <w:pPr>
              <w:pStyle w:val="null3"/>
              <w:jc w:val="both"/>
            </w:pPr>
            <w:r>
              <w:rPr>
                <w:rFonts w:ascii="仿宋_GB2312" w:hAnsi="仿宋_GB2312" w:cs="仿宋_GB2312" w:eastAsia="仿宋_GB2312"/>
                <w:sz w:val="21"/>
              </w:rPr>
              <w:t>★3、硬件接口资源：提供≥8200个IO用户子卡扩展，分布≥150个可扩展连接器；</w:t>
            </w:r>
          </w:p>
          <w:p>
            <w:pPr>
              <w:pStyle w:val="null3"/>
              <w:jc w:val="both"/>
            </w:pPr>
            <w:r>
              <w:rPr>
                <w:rFonts w:ascii="仿宋_GB2312" w:hAnsi="仿宋_GB2312" w:cs="仿宋_GB2312" w:eastAsia="仿宋_GB2312"/>
                <w:sz w:val="21"/>
              </w:rPr>
              <w:t>4、I/O 电压可灵活配置成 1.0V，1.1V，1.2V，1.35V和1.5V等多种电平标准；</w:t>
            </w:r>
          </w:p>
          <w:p>
            <w:pPr>
              <w:pStyle w:val="null3"/>
              <w:jc w:val="both"/>
            </w:pPr>
            <w:r>
              <w:rPr>
                <w:rFonts w:ascii="仿宋_GB2312" w:hAnsi="仿宋_GB2312" w:cs="仿宋_GB2312" w:eastAsia="仿宋_GB2312"/>
                <w:sz w:val="21"/>
              </w:rPr>
              <w:t>▲5、SerDes资源数量：≥256路GTYP速率≥32Gbps，≥128路GTM速率≥56Gbps，且误码率≤10</w:t>
            </w:r>
            <w:r>
              <w:rPr>
                <w:rFonts w:ascii="仿宋_GB2312" w:hAnsi="仿宋_GB2312" w:cs="仿宋_GB2312" w:eastAsia="仿宋_GB2312"/>
                <w:sz w:val="21"/>
                <w:vertAlign w:val="superscript"/>
              </w:rPr>
              <w:t>-8</w:t>
            </w:r>
            <w:r>
              <w:rPr>
                <w:rFonts w:ascii="仿宋_GB2312" w:hAnsi="仿宋_GB2312" w:cs="仿宋_GB2312" w:eastAsia="仿宋_GB2312"/>
                <w:sz w:val="21"/>
              </w:rPr>
              <w:t>；</w:t>
            </w:r>
            <w:r>
              <w:rPr>
                <w:rFonts w:ascii="仿宋_GB2312" w:hAnsi="仿宋_GB2312" w:cs="仿宋_GB2312" w:eastAsia="仿宋_GB2312"/>
                <w:sz w:val="21"/>
              </w:rPr>
              <w:t>(需要提供本条描述的测试报告)</w:t>
            </w:r>
          </w:p>
          <w:p>
            <w:pPr>
              <w:pStyle w:val="null3"/>
              <w:jc w:val="both"/>
            </w:pPr>
            <w:r>
              <w:rPr>
                <w:rFonts w:ascii="仿宋_GB2312" w:hAnsi="仿宋_GB2312" w:cs="仿宋_GB2312" w:eastAsia="仿宋_GB2312"/>
                <w:sz w:val="21"/>
              </w:rPr>
              <w:t>▲6、每颗FPGA标配≥1块16GB ECC DDR4扩展接口卡，速率 ≥2400Mbps，并提供相应的DDR4扩展接口卡套件和参考设计；(需要提供本条描述的测试报告)</w:t>
            </w:r>
          </w:p>
          <w:p>
            <w:pPr>
              <w:pStyle w:val="null3"/>
              <w:jc w:val="both"/>
            </w:pPr>
            <w:r>
              <w:rPr>
                <w:rFonts w:ascii="仿宋_GB2312" w:hAnsi="仿宋_GB2312" w:cs="仿宋_GB2312" w:eastAsia="仿宋_GB2312"/>
                <w:sz w:val="21"/>
              </w:rPr>
              <w:t>7、时钟资源：全局时钟≥18路，全局复位≥6路</w:t>
            </w:r>
            <w:r>
              <w:rPr>
                <w:rFonts w:ascii="仿宋_GB2312" w:hAnsi="仿宋_GB2312" w:cs="仿宋_GB2312" w:eastAsia="仿宋_GB2312"/>
                <w:sz w:val="21"/>
              </w:rPr>
              <w:t>,</w:t>
            </w:r>
            <w:r>
              <w:rPr>
                <w:rFonts w:ascii="仿宋_GB2312" w:hAnsi="仿宋_GB2312" w:cs="仿宋_GB2312" w:eastAsia="仿宋_GB2312"/>
                <w:sz w:val="21"/>
              </w:rPr>
              <w:t>反馈时钟</w:t>
            </w:r>
            <w:r>
              <w:rPr>
                <w:rFonts w:ascii="仿宋_GB2312" w:hAnsi="仿宋_GB2312" w:cs="仿宋_GB2312" w:eastAsia="仿宋_GB2312"/>
                <w:sz w:val="21"/>
              </w:rPr>
              <w:t>≥18路，频率范围在0.2-350MHz可调；</w:t>
            </w:r>
          </w:p>
          <w:p>
            <w:pPr>
              <w:pStyle w:val="null3"/>
              <w:jc w:val="both"/>
            </w:pPr>
            <w:r>
              <w:rPr>
                <w:rFonts w:ascii="仿宋_GB2312" w:hAnsi="仿宋_GB2312" w:cs="仿宋_GB2312" w:eastAsia="仿宋_GB2312"/>
                <w:sz w:val="21"/>
              </w:rPr>
              <w:t>8、支持USB、以太网、SD卡和JTAG下载；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9、配套应用接口</w:t>
            </w:r>
            <w:r>
              <w:rPr>
                <w:rFonts w:ascii="仿宋_GB2312" w:hAnsi="仿宋_GB2312" w:cs="仿宋_GB2312" w:eastAsia="仿宋_GB2312"/>
                <w:sz w:val="21"/>
              </w:rPr>
              <w:t>（提供承诺函）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PCIe5.04/ PCIe4.0 8的RC子卡</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PCIe5.04/ PCIe4.0 8的EP子卡</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eMMC5.1的子卡</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Nor Flash、SPI Flash、SD3.0、I3C的子卡</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2个通路RGMII网络的子卡</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HDMI2.0功能子卡，支持1路输入和1路输出</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QSFP28通道光通信接口子卡</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▲提供DDR5/LPDDR5存储器模型,实现用户在FPGA平台上验证DDR5/LPDDR5存储器等设计验证服务需求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▲提供PCIe5、200G/400G/800G以太网MAC速度适配器，实现用户对高速PCIe5、200G/400G/800G以太网MAC等设计验证服务需求</w:t>
            </w:r>
          </w:p>
          <w:p>
            <w:pPr>
              <w:pStyle w:val="null3"/>
              <w:jc w:val="both"/>
            </w:pPr>
            <w:r>
              <w:rPr>
                <w:rFonts w:ascii="仿宋_GB2312" w:hAnsi="仿宋_GB2312" w:cs="仿宋_GB2312" w:eastAsia="仿宋_GB2312"/>
                <w:sz w:val="21"/>
              </w:rPr>
              <w:t>配套工具的功能要求：</w:t>
            </w:r>
          </w:p>
          <w:p>
            <w:pPr>
              <w:pStyle w:val="null3"/>
              <w:jc w:val="both"/>
            </w:pPr>
            <w:r>
              <w:rPr>
                <w:rFonts w:ascii="仿宋_GB2312" w:hAnsi="仿宋_GB2312" w:cs="仿宋_GB2312" w:eastAsia="仿宋_GB2312"/>
                <w:sz w:val="21"/>
              </w:rPr>
              <w:t>★1、支持实时平台管理功能，包含系统监测、系统自检功能、原型复位、电源控制等，支持自动识别互连拓扑和外设接口子卡功能；</w:t>
            </w:r>
          </w:p>
          <w:p>
            <w:pPr>
              <w:pStyle w:val="null3"/>
              <w:jc w:val="both"/>
            </w:pPr>
            <w:r>
              <w:rPr>
                <w:rFonts w:ascii="仿宋_GB2312" w:hAnsi="仿宋_GB2312" w:cs="仿宋_GB2312" w:eastAsia="仿宋_GB2312"/>
                <w:sz w:val="21"/>
              </w:rPr>
              <w:t>2、自动系统监测功能，若出现过流或过压则自动切断电源；</w:t>
            </w:r>
          </w:p>
          <w:p>
            <w:pPr>
              <w:pStyle w:val="null3"/>
              <w:jc w:val="both"/>
            </w:pPr>
            <w:r>
              <w:rPr>
                <w:rFonts w:ascii="仿宋_GB2312" w:hAnsi="仿宋_GB2312" w:cs="仿宋_GB2312" w:eastAsia="仿宋_GB2312"/>
                <w:sz w:val="21"/>
              </w:rPr>
              <w:t>▲3、支持多套系统互连以实现更大容量的设计并提供分割软件；分割软件支持自动插入TDM IP，支持LVDS、SerDes互联；（需要提供本条描述的工程实例报告或测试报告）</w:t>
            </w:r>
          </w:p>
          <w:p>
            <w:pPr>
              <w:pStyle w:val="null3"/>
              <w:jc w:val="both"/>
            </w:pPr>
            <w:r>
              <w:rPr>
                <w:rFonts w:ascii="仿宋_GB2312" w:hAnsi="仿宋_GB2312" w:cs="仿宋_GB2312" w:eastAsia="仿宋_GB2312"/>
                <w:sz w:val="21"/>
              </w:rPr>
              <w:t>▲4、支持FPGA之间互连以实现更大容量的设计并提供基于RTL的分割软件，支持时序向导的自动分割，支持RTL输入进行分割，生成分割后的RTL。（需要提供本条描述的工程实例报告或测试报告）</w:t>
            </w:r>
          </w:p>
          <w:p>
            <w:pPr>
              <w:pStyle w:val="null3"/>
              <w:jc w:val="both"/>
            </w:pPr>
            <w:r>
              <w:rPr>
                <w:rFonts w:ascii="仿宋_GB2312" w:hAnsi="仿宋_GB2312" w:cs="仿宋_GB2312" w:eastAsia="仿宋_GB2312"/>
                <w:sz w:val="21"/>
              </w:rPr>
              <w:t>▲5、支持设计的自动划分，可自动评估选择最优划分方案的分割工具。（需要提供本条描述的工程实例报告或测试报告）</w:t>
            </w:r>
          </w:p>
          <w:p>
            <w:pPr>
              <w:pStyle w:val="null3"/>
              <w:jc w:val="both"/>
            </w:pPr>
            <w:r>
              <w:rPr>
                <w:rFonts w:ascii="仿宋_GB2312" w:hAnsi="仿宋_GB2312" w:cs="仿宋_GB2312" w:eastAsia="仿宋_GB2312"/>
                <w:sz w:val="21"/>
              </w:rPr>
              <w:t>6、支持静态时序分析工具，编译期间就能提前预估性能优化；</w:t>
            </w:r>
          </w:p>
          <w:p>
            <w:pPr>
              <w:pStyle w:val="null3"/>
              <w:jc w:val="both"/>
            </w:pPr>
            <w:r>
              <w:rPr>
                <w:rFonts w:ascii="仿宋_GB2312" w:hAnsi="仿宋_GB2312" w:cs="仿宋_GB2312" w:eastAsia="仿宋_GB2312"/>
                <w:sz w:val="21"/>
              </w:rPr>
              <w:t xml:space="preserve">7、至少支持同时调试8颗FPGA的数据信号，每个FPGA的数据采样宽度2K </w:t>
            </w:r>
            <w:r>
              <w:rPr>
                <w:rFonts w:ascii="仿宋_GB2312" w:hAnsi="仿宋_GB2312" w:cs="仿宋_GB2312" w:eastAsia="仿宋_GB2312"/>
                <w:sz w:val="21"/>
              </w:rPr>
              <w:t>bits</w:t>
            </w:r>
            <w:r>
              <w:rPr>
                <w:rFonts w:ascii="仿宋_GB2312" w:hAnsi="仿宋_GB2312" w:cs="仿宋_GB2312" w:eastAsia="仿宋_GB2312"/>
                <w:sz w:val="21"/>
              </w:rPr>
              <w:t xml:space="preserve"> </w:t>
            </w:r>
            <w:r>
              <w:rPr>
                <w:rFonts w:ascii="仿宋_GB2312" w:hAnsi="仿宋_GB2312" w:cs="仿宋_GB2312" w:eastAsia="仿宋_GB2312"/>
                <w:sz w:val="21"/>
              </w:rPr>
              <w:t>，波形数据存储容量</w:t>
            </w:r>
            <w:r>
              <w:rPr>
                <w:rFonts w:ascii="仿宋_GB2312" w:hAnsi="仿宋_GB2312" w:cs="仿宋_GB2312" w:eastAsia="仿宋_GB2312"/>
                <w:sz w:val="21"/>
              </w:rPr>
              <w:t>≥64GB；</w:t>
            </w:r>
          </w:p>
          <w:p>
            <w:pPr>
              <w:pStyle w:val="null3"/>
              <w:jc w:val="both"/>
            </w:pPr>
            <w:r>
              <w:rPr>
                <w:rFonts w:ascii="仿宋_GB2312" w:hAnsi="仿宋_GB2312" w:cs="仿宋_GB2312" w:eastAsia="仿宋_GB2312"/>
                <w:sz w:val="21"/>
              </w:rPr>
              <w:t>8、至少支持8 通道的 PCIe Gen3作为 PC 主机和 FPGA 之间的数据传输通道，支持直接访问和 DMA 访问模式；</w:t>
            </w:r>
          </w:p>
          <w:p>
            <w:pPr>
              <w:pStyle w:val="null3"/>
              <w:jc w:val="both"/>
            </w:pPr>
            <w:r>
              <w:rPr>
                <w:rFonts w:ascii="仿宋_GB2312" w:hAnsi="仿宋_GB2312" w:cs="仿宋_GB2312" w:eastAsia="仿宋_GB2312"/>
                <w:sz w:val="21"/>
              </w:rPr>
              <w:t>▲9、提供基于玄铁/香山等开源RISC-V等核心开发的最小SoC系统（含总线，UART，DDR4，Timer，JTAG）及启动脚本，提供适配且正常运行的Linux系统；（需要提供本条描述的工程实例报告或测试报告）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10、提供1次12mm²的28nm流片服务。（提供承诺函）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、支持混合仿真验证的二次开发需求：</w:t>
            </w:r>
            <w:r>
              <w:rPr>
                <w:rFonts w:ascii="仿宋_GB2312" w:hAnsi="仿宋_GB2312" w:cs="仿宋_GB2312" w:eastAsia="仿宋_GB2312"/>
                <w:sz w:val="21"/>
              </w:rPr>
              <w:t>（需要提供本条描述的工程实例报告或测试报告）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1）支持Verilog、 VHDL、System Verilog等主流RTL硬件描述语言混合仿真验证；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2）支持软件模型和FPGA原型的混合仿真验证；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3）支持原型通过AMBA协议实现与QEMU等虚拟环境的连接，搭建混合仿真环境；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合同签订后30天安装调试完成保证可正常使用。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根据采购单位通知的时间和地点，安排具有相关经验的工程技术人员参与采购单位验收，根据各项技术指标提供相应测试报告对货物进行验收，由投标人配合需求单位进行验收，形成验收报告。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1.本合同下提供的货物应采用国家/行业规范标准保护措施进行包装，且妥善防潮、防震、防锈，不可野蛮装卸、倾斜或倒置，能够防止货物在转运中损坏或变质，确保货物安全运抵交货地点而不毁损、灭失。 2.包装体（物）内应附一份详细的装箱单，随机的零部件、备品备件等散件需妥善包装。以确保货物安全无损运抵指定地点。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 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技术支持及售后要求： 1.提供并且安排工程技术人员免费进行安装调试。安装调试中所产生的一切相关费用由投标供应商承担。 2.硬件安装：提供并按照产品要求完成硬件组装和上电前状态检查，确保产品运行正常、安全。 3、售后服务需求24小时内响应，48小时内到达现场或进行线上指导采购单位进行维修。重大问题（大修）须在5个工作日内解决或提出甲方认可的明确解决方案，为采购人提供免费移机服务一次。 4、培训要求，提供不少于3个课时的培训，可线上或线下，培训内容应包括软硬件产品的操作使用，操作流程，使用注意事项。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3322"/>
          </w:tcPr>
          <w:p>
            <w:pPr>
              <w:pStyle w:val="null3"/>
            </w:pPr>
            <w:r>
              <w:rPr>
                <w:rFonts w:ascii="仿宋_GB2312" w:hAnsi="仿宋_GB2312" w:cs="仿宋_GB2312" w:eastAsia="仿宋_GB2312"/>
              </w:rPr>
              <w:t>投标人应出具参加采购活动前3年内在经营活动中没有重大违法记录的书面声明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 质保期满足招标文件要求（合格）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供应商资格要求.docx 中小企业声明函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货物标的出现漏项或货物数量与要求不符的（不合格） 货物标的未出现漏项或货物数量与要求符合的（合格）</w:t>
            </w:r>
          </w:p>
        </w:tc>
        <w:tc>
          <w:tcPr>
            <w:tcW w:type="dxa" w:w="1661"/>
          </w:tcPr>
          <w:p>
            <w:pPr>
              <w:pStyle w:val="null3"/>
            </w:pPr>
            <w:r>
              <w:rPr>
                <w:rFonts w:ascii="仿宋_GB2312" w:hAnsi="仿宋_GB2312" w:cs="仿宋_GB2312" w:eastAsia="仿宋_GB2312"/>
              </w:rPr>
              <w:t>产品技术参数表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产品技术参数表 供应商认为有必要说明的其他问题.docx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基本分（35分）：除“●”外完全符合、响应招标文件要求，没有负偏离计35分，“▲”每负偏离一项扣3分，未带标识参数每负偏离一项扣1.5分，扣完为止。 “●”子项满足五项加0分，满足六项加2.5分，满足全部七项加5分。 备注：文件中要求提供证明材料而未提供证明材料或提供证明材料不满足招标文件规定的相应技术指标、参数时视为负偏离。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实施方案针对本项目有具体实施方案，①总体实施方案；②计划进度安排；③项目团队配备；④安装调试方案；⑤项目验收方案。根据内容的完整性、针对性、合理性每项最高计3分，共15分，未提供不得分。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人员配置安排计划；③故障处理响应时间及应急预案；④培训方案；⑤售后服务保障措施。根据内容的完整性、针对性、合理性每项最高计2分，共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提供供应商2022年1月1日至今类似项目合同（以合同签订日期为准），每提供1个得1分，最高得5分。备注：响应文件中提供合同复印件（包含关键页，双方盖章页）。</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