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073" w:rsidRDefault="008706C1">
      <w:pPr>
        <w:spacing w:line="360" w:lineRule="auto"/>
        <w:ind w:firstLineChars="200" w:firstLine="482"/>
        <w:jc w:val="center"/>
        <w:rPr>
          <w:rFonts w:asciiTheme="minorEastAsia" w:hAnsiTheme="minorEastAsia"/>
          <w:b/>
          <w:sz w:val="24"/>
          <w:szCs w:val="20"/>
        </w:rPr>
      </w:pPr>
      <w:bookmarkStart w:id="0" w:name="_Toc54582731"/>
      <w:bookmarkStart w:id="1" w:name="_Toc281864108"/>
      <w:bookmarkStart w:id="2" w:name="_Toc54110244"/>
      <w:bookmarkStart w:id="3" w:name="_Toc49849184"/>
      <w:bookmarkStart w:id="4" w:name="_Toc49754060"/>
      <w:bookmarkStart w:id="5" w:name="_GoBack"/>
      <w:bookmarkEnd w:id="5"/>
      <w:r>
        <w:rPr>
          <w:rFonts w:asciiTheme="minorEastAsia" w:hAnsiTheme="minorEastAsia" w:cs="宋体" w:hint="eastAsia"/>
          <w:b/>
          <w:sz w:val="24"/>
          <w:szCs w:val="20"/>
        </w:rPr>
        <w:t>政府采购合同（参考格式）</w:t>
      </w:r>
    </w:p>
    <w:p w:rsidR="00106073" w:rsidRDefault="00106073">
      <w:pPr>
        <w:overflowPunct w:val="0"/>
        <w:topLinePunct/>
        <w:adjustRightInd w:val="0"/>
        <w:snapToGrid w:val="0"/>
        <w:spacing w:beforeLines="50" w:before="156" w:afterLines="50" w:after="156" w:line="420" w:lineRule="exact"/>
        <w:jc w:val="center"/>
        <w:outlineLvl w:val="0"/>
        <w:rPr>
          <w:rFonts w:ascii="宋体" w:eastAsia="宋体" w:hAnsi="宋体" w:cs="宋体"/>
          <w:snapToGrid/>
          <w:kern w:val="2"/>
          <w:sz w:val="24"/>
          <w:szCs w:val="24"/>
        </w:rPr>
      </w:pPr>
    </w:p>
    <w:bookmarkEnd w:id="0"/>
    <w:bookmarkEnd w:id="1"/>
    <w:bookmarkEnd w:id="2"/>
    <w:bookmarkEnd w:id="3"/>
    <w:bookmarkEnd w:id="4"/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合同编号：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签订地点：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签订时间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: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本合同为中小企业预留份额合同。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采购人（甲方）：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供应商（乙方）：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根据《中华人民共和国政府采购法》及实施条例、《中华人民共和国民法典》和甲方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招标文件、投标文件等有关规定，为确保甲方采购项目的顺利实施，甲、乙双方在平等自愿原则下签订本合同，并共同遵守如下条款：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bookmarkStart w:id="6" w:name="_Toc29588"/>
      <w:bookmarkStart w:id="7" w:name="_Toc9696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1.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合同内容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1.1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乙方负责按照合同确定的内容提供甲方所需的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服务，内容及要求见附件。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1.2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服务期：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    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1.3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服务地点：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2.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合同价格及支付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2.1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合同金额为（大写）：人民币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¥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元）。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2.2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支付：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1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）本合同的款项以对公转账方式支付。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2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）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                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）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                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4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）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                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bookmarkStart w:id="8" w:name="_Toc18916_WPSOffice_Level2"/>
      <w:bookmarkStart w:id="9" w:name="_Toc12297"/>
      <w:bookmarkStart w:id="10" w:name="_Toc10784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3.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服务</w:t>
      </w:r>
      <w:bookmarkEnd w:id="8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要求及标准</w:t>
      </w:r>
    </w:p>
    <w:bookmarkEnd w:id="9"/>
    <w:bookmarkEnd w:id="10"/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3.1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                   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3.2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                            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……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4.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违约责任</w:t>
      </w:r>
    </w:p>
    <w:bookmarkEnd w:id="6"/>
    <w:bookmarkEnd w:id="7"/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4.1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本合同若与甲方的上级管理机关的政策性行为或其他规定发生冲突，甲方有权与乙方协商调整合同内容或终止合同执行。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4.2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如乙方提供的服务标准与合同标准不相符合，则甲方有权拒收乙方提供的服务、解除本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lastRenderedPageBreak/>
        <w:t>合同、拒付本合同项下的价款并追究乙方违约责任，乙方应返还甲方已支付的全部款项，并按合同总价款的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  <w:shd w:val="clear" w:color="auto" w:fill="FFFFFF"/>
        </w:rPr>
        <w:t xml:space="preserve">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向甲方支付违约金并赔偿甲方因此而遭受的一切损失。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4.3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由于不可抗力（不可抗力仅指自然灾害、战争）所导致的违约，根据不可抗力的影响范围，可部分或全部免除违约方的违约责任，但违约方应及时通知对方并在不可抗力事件发生之日起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5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日内提供符合法律规定的证明文件，否则应赔偿对方因此而遭受的损失。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  <w:shd w:val="clear" w:color="auto" w:fill="FFFFFF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 xml:space="preserve">4.4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shd w:val="clear" w:color="auto" w:fill="FFFFFF"/>
        </w:rPr>
        <w:t>未及之处按《民法典》中的相关条款执行。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bookmarkStart w:id="11" w:name="_Toc18421"/>
      <w:bookmarkStart w:id="12" w:name="_Toc14590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5.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保密条款</w:t>
      </w:r>
      <w:bookmarkEnd w:id="11"/>
      <w:bookmarkEnd w:id="12"/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甲、乙双方对本合同履行过程中获得的对方的资料数据、商业技术信息等承担保密责任。未经对方事先书面同意，任何一方不得以任何形式向第三方泄露，也不得公开本合同及其相关附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件内容。本合同的解除或终止，不免除双方对本保密条款的遵守。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bookmarkStart w:id="13" w:name="_Toc18460"/>
      <w:bookmarkStart w:id="14" w:name="_Toc24354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6.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合同</w:t>
      </w:r>
      <w:bookmarkEnd w:id="13"/>
      <w:bookmarkEnd w:id="14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保证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除《中华人民共和国政府采购法》第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49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条、第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50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条第二款规定的情形外，本合同一经签订，甲乙双方不得擅自变更、中止或终止合同。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bookmarkStart w:id="15" w:name="_Toc23231"/>
      <w:bookmarkStart w:id="16" w:name="_Toc2019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7.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合同争议解决的方式</w:t>
      </w:r>
      <w:bookmarkEnd w:id="15"/>
      <w:bookmarkEnd w:id="16"/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 xml:space="preserve">7.1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因服务的质量问题发生争议，由质量技术监督部门或其指定的质量鉴定机构进行质量鉴定。符合标准的，鉴定费由甲方承担；不符合质量标准的，鉴定费由乙方承担。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 xml:space="preserve">7.2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因履行本合同引起的或与本合同有关的争议，甲、乙双方应首先通过友好协商解决，如果协商不成，则采取以下第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</w:rPr>
        <w:t xml:space="preserve"> 1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种方式解决争议：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1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）向甲方所在地有管辖权的人民法院提起诉讼；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2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）向西安仲裁委员会按其仲裁规则申请仲裁。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 xml:space="preserve">7.3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解决争议期间，本合同应继续履行。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bookmarkStart w:id="17" w:name="_Toc3946"/>
      <w:bookmarkStart w:id="18" w:name="_Toc23719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8.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合同文件</w:t>
      </w:r>
      <w:bookmarkEnd w:id="17"/>
      <w:bookmarkEnd w:id="18"/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 w:rsidR="00106073" w:rsidRDefault="008706C1">
      <w:pPr>
        <w:numPr>
          <w:ilvl w:val="0"/>
          <w:numId w:val="1"/>
        </w:num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本合同书（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2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）成交通知书（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3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）协议（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4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）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磋商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文件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(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含澄清或者修改文件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)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（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5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）响应文件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2"/>
        <w:rPr>
          <w:rFonts w:asciiTheme="minorEastAsia" w:hAnsiTheme="minorEastAsia" w:cstheme="minorEastAsia"/>
          <w:b/>
          <w:snapToGrid/>
          <w:color w:val="000000"/>
          <w:sz w:val="20"/>
          <w:szCs w:val="20"/>
          <w:shd w:val="clear" w:color="auto" w:fill="FFFFFF"/>
        </w:rPr>
      </w:pPr>
      <w:bookmarkStart w:id="19" w:name="_Toc21719"/>
      <w:bookmarkStart w:id="20" w:name="_Toc16981"/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9.</w:t>
      </w:r>
      <w:r>
        <w:rPr>
          <w:rFonts w:asciiTheme="minorEastAsia" w:hAnsiTheme="minorEastAsia" w:cstheme="minorEastAsia" w:hint="eastAsia"/>
          <w:b/>
          <w:snapToGrid/>
          <w:color w:val="000000"/>
          <w:sz w:val="20"/>
          <w:szCs w:val="20"/>
          <w:shd w:val="clear" w:color="auto" w:fill="FFFFFF"/>
        </w:rPr>
        <w:t>其他事项</w:t>
      </w:r>
      <w:bookmarkEnd w:id="19"/>
      <w:bookmarkEnd w:id="20"/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 xml:space="preserve">9.1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陕西省财政厅在合同的履行期间以及履行期后，可以随时检查项目的执行情况，对采购标准、采购内容进行调查核实，并对发现的问题进行处理。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 xml:space="preserve">9.2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乙方应根据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谈判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文件的规定向采购代理机构交纳代理服务费并取得甲方的签章后，合同才正式生效。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 xml:space="preserve">9.3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本合同一式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</w:rPr>
        <w:t xml:space="preserve">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份，甲方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</w:rPr>
        <w:t xml:space="preserve">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份，乙方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</w:rPr>
        <w:t xml:space="preserve">  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份，采购代理机构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</w:rPr>
        <w:t xml:space="preserve">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</w:rPr>
        <w:t>壹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  <w:u w:val="single"/>
        </w:rPr>
        <w:t xml:space="preserve">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份。</w:t>
      </w:r>
    </w:p>
    <w:p w:rsidR="00106073" w:rsidRDefault="008706C1">
      <w:pPr>
        <w:overflowPunct w:val="0"/>
        <w:autoSpaceDN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 xml:space="preserve">9.4 </w:t>
      </w: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t>本合同未尽事项，补充合同内容。</w:t>
      </w:r>
    </w:p>
    <w:p w:rsidR="00106073" w:rsidRDefault="008706C1">
      <w:pPr>
        <w:overflowPunct w:val="0"/>
        <w:adjustRightInd w:val="0"/>
        <w:snapToGrid w:val="0"/>
        <w:spacing w:line="420" w:lineRule="exact"/>
        <w:ind w:firstLineChars="200" w:firstLine="400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  <w:r>
        <w:rPr>
          <w:rFonts w:asciiTheme="minorEastAsia" w:hAnsiTheme="minorEastAsia" w:cstheme="minorEastAsia" w:hint="eastAsia"/>
          <w:snapToGrid/>
          <w:color w:val="000000"/>
          <w:sz w:val="20"/>
          <w:szCs w:val="20"/>
        </w:rPr>
        <w:lastRenderedPageBreak/>
        <w:t>（以下无正文）</w:t>
      </w:r>
    </w:p>
    <w:tbl>
      <w:tblPr>
        <w:tblpPr w:leftFromText="180" w:rightFromText="180" w:vertAnchor="text" w:horzAnchor="page" w:tblpX="1238" w:tblpY="359"/>
        <w:tblOverlap w:val="never"/>
        <w:tblW w:w="9859" w:type="dxa"/>
        <w:tblLayout w:type="fixed"/>
        <w:tblLook w:val="04A0" w:firstRow="1" w:lastRow="0" w:firstColumn="1" w:lastColumn="0" w:noHBand="0" w:noVBand="1"/>
      </w:tblPr>
      <w:tblGrid>
        <w:gridCol w:w="4928"/>
        <w:gridCol w:w="4931"/>
      </w:tblGrid>
      <w:tr w:rsidR="00106073">
        <w:trPr>
          <w:trHeight w:val="644"/>
        </w:trPr>
        <w:tc>
          <w:tcPr>
            <w:tcW w:w="4928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甲方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:                         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（盖章）</w:t>
            </w:r>
          </w:p>
        </w:tc>
        <w:tc>
          <w:tcPr>
            <w:tcW w:w="4931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乙方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:                    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（盖章）</w:t>
            </w:r>
          </w:p>
        </w:tc>
      </w:tr>
      <w:tr w:rsidR="00106073">
        <w:trPr>
          <w:trHeight w:val="644"/>
        </w:trPr>
        <w:tc>
          <w:tcPr>
            <w:tcW w:w="4928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地址：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31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地址：</w:t>
            </w:r>
          </w:p>
        </w:tc>
      </w:tr>
      <w:tr w:rsidR="00106073">
        <w:trPr>
          <w:trHeight w:val="644"/>
        </w:trPr>
        <w:tc>
          <w:tcPr>
            <w:tcW w:w="4928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邮编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：</w:t>
            </w:r>
          </w:p>
        </w:tc>
        <w:tc>
          <w:tcPr>
            <w:tcW w:w="4931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邮编：</w:t>
            </w:r>
          </w:p>
        </w:tc>
      </w:tr>
      <w:tr w:rsidR="00106073">
        <w:trPr>
          <w:trHeight w:val="1279"/>
        </w:trPr>
        <w:tc>
          <w:tcPr>
            <w:tcW w:w="4928" w:type="dxa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法定代表人（签字或盖章）：</w:t>
            </w:r>
          </w:p>
        </w:tc>
        <w:tc>
          <w:tcPr>
            <w:tcW w:w="4931" w:type="dxa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法定代表人（签字或盖章）：</w:t>
            </w:r>
          </w:p>
        </w:tc>
      </w:tr>
      <w:tr w:rsidR="00106073">
        <w:trPr>
          <w:trHeight w:val="934"/>
        </w:trPr>
        <w:tc>
          <w:tcPr>
            <w:tcW w:w="4928" w:type="dxa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被授权代表：（签字）</w:t>
            </w:r>
          </w:p>
        </w:tc>
        <w:tc>
          <w:tcPr>
            <w:tcW w:w="4931" w:type="dxa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被授权代表：（签字）</w:t>
            </w:r>
          </w:p>
        </w:tc>
      </w:tr>
      <w:tr w:rsidR="00106073">
        <w:trPr>
          <w:trHeight w:val="644"/>
        </w:trPr>
        <w:tc>
          <w:tcPr>
            <w:tcW w:w="4928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电话：</w:t>
            </w:r>
          </w:p>
        </w:tc>
        <w:tc>
          <w:tcPr>
            <w:tcW w:w="4931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电话：</w:t>
            </w:r>
          </w:p>
        </w:tc>
      </w:tr>
      <w:tr w:rsidR="00106073">
        <w:trPr>
          <w:trHeight w:val="644"/>
        </w:trPr>
        <w:tc>
          <w:tcPr>
            <w:tcW w:w="4928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传真：</w:t>
            </w:r>
          </w:p>
        </w:tc>
        <w:tc>
          <w:tcPr>
            <w:tcW w:w="4931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传真：</w:t>
            </w:r>
          </w:p>
        </w:tc>
      </w:tr>
      <w:tr w:rsidR="00106073">
        <w:trPr>
          <w:trHeight w:val="644"/>
        </w:trPr>
        <w:tc>
          <w:tcPr>
            <w:tcW w:w="4928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开户银行：</w:t>
            </w:r>
          </w:p>
        </w:tc>
        <w:tc>
          <w:tcPr>
            <w:tcW w:w="4931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开户银行：</w:t>
            </w:r>
          </w:p>
        </w:tc>
      </w:tr>
      <w:tr w:rsidR="00106073">
        <w:trPr>
          <w:trHeight w:val="644"/>
        </w:trPr>
        <w:tc>
          <w:tcPr>
            <w:tcW w:w="4928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账号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:</w:t>
            </w:r>
          </w:p>
        </w:tc>
        <w:tc>
          <w:tcPr>
            <w:tcW w:w="4931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账号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:</w:t>
            </w:r>
          </w:p>
        </w:tc>
      </w:tr>
      <w:tr w:rsidR="00106073">
        <w:trPr>
          <w:trHeight w:val="716"/>
        </w:trPr>
        <w:tc>
          <w:tcPr>
            <w:tcW w:w="4928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日期：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年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月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日</w:t>
            </w:r>
          </w:p>
        </w:tc>
        <w:tc>
          <w:tcPr>
            <w:tcW w:w="4931" w:type="dxa"/>
            <w:vAlign w:val="center"/>
          </w:tcPr>
          <w:p w:rsidR="00106073" w:rsidRDefault="008706C1">
            <w:pPr>
              <w:overflowPunct w:val="0"/>
              <w:adjustRightInd w:val="0"/>
              <w:snapToGrid w:val="0"/>
              <w:spacing w:line="400" w:lineRule="exact"/>
              <w:rPr>
                <w:rFonts w:asciiTheme="minorEastAsia" w:hAnsiTheme="minorEastAsia" w:cstheme="minorEastAsia"/>
                <w:snapToGrid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日期：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      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年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月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EastAsia" w:hAnsiTheme="minorEastAsia" w:cstheme="minorEastAsia" w:hint="eastAsia"/>
                <w:snapToGrid/>
                <w:color w:val="000000"/>
                <w:sz w:val="20"/>
                <w:szCs w:val="20"/>
              </w:rPr>
              <w:t>日</w:t>
            </w:r>
          </w:p>
        </w:tc>
      </w:tr>
    </w:tbl>
    <w:p w:rsidR="00106073" w:rsidRDefault="00106073">
      <w:pPr>
        <w:spacing w:after="120" w:line="400" w:lineRule="exact"/>
        <w:rPr>
          <w:rFonts w:asciiTheme="minorEastAsia" w:hAnsiTheme="minorEastAsia" w:cstheme="minorEastAsia"/>
          <w:snapToGrid/>
          <w:color w:val="000000"/>
          <w:sz w:val="20"/>
          <w:szCs w:val="20"/>
        </w:rPr>
      </w:pPr>
    </w:p>
    <w:p w:rsidR="00106073" w:rsidRDefault="00106073">
      <w:pPr>
        <w:overflowPunct w:val="0"/>
        <w:adjustRightInd w:val="0"/>
        <w:snapToGrid w:val="0"/>
        <w:spacing w:line="400" w:lineRule="exact"/>
        <w:rPr>
          <w:rFonts w:ascii="Times New Roman" w:eastAsia="宋体" w:hAnsi="Times New Roman" w:cs="Times New Roman"/>
          <w:snapToGrid/>
          <w:color w:val="000000"/>
          <w:sz w:val="24"/>
          <w:szCs w:val="20"/>
          <w:lang w:val="zh-CN"/>
        </w:rPr>
      </w:pPr>
    </w:p>
    <w:p w:rsidR="00106073" w:rsidRDefault="008706C1">
      <w:pPr>
        <w:spacing w:line="400" w:lineRule="exact"/>
      </w:pPr>
      <w:r>
        <w:rPr>
          <w:rFonts w:ascii="Times New Roman" w:eastAsia="宋体" w:hAnsi="Times New Roman" w:cs="Times New Roman" w:hint="eastAsia"/>
          <w:snapToGrid/>
          <w:color w:val="000000"/>
          <w:sz w:val="24"/>
          <w:szCs w:val="20"/>
        </w:rPr>
        <w:t xml:space="preserve"> </w:t>
      </w:r>
    </w:p>
    <w:sectPr w:rsidR="00106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E40AC"/>
    <w:multiLevelType w:val="singleLevel"/>
    <w:tmpl w:val="404E40A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ODUwNzJlMTU0MThjMTU1ZmU0ZGYwYmU1MTUwODEifQ=="/>
  </w:docVars>
  <w:rsids>
    <w:rsidRoot w:val="363F62C0"/>
    <w:rsid w:val="00106073"/>
    <w:rsid w:val="0052505F"/>
    <w:rsid w:val="008706C1"/>
    <w:rsid w:val="011E0236"/>
    <w:rsid w:val="17B0596B"/>
    <w:rsid w:val="363F62C0"/>
    <w:rsid w:val="3FF9428E"/>
    <w:rsid w:val="437454B8"/>
    <w:rsid w:val="4C6432DA"/>
    <w:rsid w:val="5481728A"/>
    <w:rsid w:val="5A174101"/>
    <w:rsid w:val="5ADA7E9F"/>
    <w:rsid w:val="5DA4147A"/>
    <w:rsid w:val="6403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napToGrid w:val="0"/>
      <w:sz w:val="7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qFormat/>
    <w:pPr>
      <w:spacing w:line="360" w:lineRule="auto"/>
    </w:pPr>
    <w:rPr>
      <w:rFonts w:ascii="Calibri" w:eastAsia="宋体" w:hAnsi="Calibri" w:cs="Times New Roman"/>
      <w:kern w:val="2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napToGrid w:val="0"/>
      <w:sz w:val="7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qFormat/>
    <w:pPr>
      <w:spacing w:line="360" w:lineRule="auto"/>
    </w:pPr>
    <w:rPr>
      <w:rFonts w:ascii="Calibri" w:eastAsia="宋体" w:hAnsi="Calibri" w:cs="Times New Roman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新昱</dc:creator>
  <cp:lastModifiedBy>xb21cn</cp:lastModifiedBy>
  <cp:revision>2</cp:revision>
  <dcterms:created xsi:type="dcterms:W3CDTF">2025-09-29T12:37:00Z</dcterms:created>
  <dcterms:modified xsi:type="dcterms:W3CDTF">2025-09-29T12:37:00Z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9EB1C1CF6B854ABBAE85B2D408C28E26_13</vt:lpwstr>
  </property>
</Properties>
</file>