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版本号：DQA-2025104-ZB20250928001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人工智能创新应用教研训中心建设-食品营养与健康专业实验室建设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DQA-2025104-ZB</w:t>
      </w:r>
      <w:r>
        <w:br/>
      </w:r>
      <w:r>
        <w:br/>
      </w:r>
      <w:r>
        <w:br/>
      </w:r>
    </w:p>
    <w:p>
      <w:pPr>
        <w:pStyle w:val="null3"/>
        <w:jc w:val="center"/>
        <w:outlineLvl w:val="2"/>
      </w:pPr>
      <w:r>
        <w:rPr>
          <w:rFonts w:ascii="仿宋_GB2312" w:hAnsi="仿宋_GB2312" w:cs="仿宋_GB2312" w:eastAsia="仿宋_GB2312"/>
          <w:sz w:val="28"/>
          <w:b/>
        </w:rPr>
        <w:t>陕西学前师范学院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陕西学前师范学院</w:t>
      </w:r>
      <w:r>
        <w:rPr>
          <w:rFonts w:ascii="仿宋_GB2312" w:hAnsi="仿宋_GB2312" w:cs="仿宋_GB2312" w:eastAsia="仿宋_GB2312"/>
        </w:rPr>
        <w:t>委托，拟对</w:t>
      </w:r>
      <w:r>
        <w:rPr>
          <w:rFonts w:ascii="仿宋_GB2312" w:hAnsi="仿宋_GB2312" w:cs="仿宋_GB2312" w:eastAsia="仿宋_GB2312"/>
        </w:rPr>
        <w:t>人工智能创新应用教研训中心建设-食品营养与健康专业实验室建设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DQA-2025104-ZB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人工智能创新应用教研训中心建设-食品营养与健康专业实验室建设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完善提升实验教学水平；提升食品营养与健康专业科研水平与人才培养质量；提升儿童特色食品研究与开发高校工程中心科研水平；提高教师科研及成果转化水平，提升实践育人质量。</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采购包1（人工智能创新应用教研训中心建设-食品营养与健康专业实验室建设）：属于专门面向中小企业采购。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w:t>
      </w:r>
    </w:p>
    <w:p>
      <w:pPr>
        <w:pStyle w:val="null3"/>
      </w:pPr>
      <w:r>
        <w:rPr>
          <w:rFonts w:ascii="仿宋_GB2312" w:hAnsi="仿宋_GB2312" w:cs="仿宋_GB2312" w:eastAsia="仿宋_GB2312"/>
        </w:rPr>
        <w:t>2、财务状况报告：提供2023或2024年度经审计的财务报告，或其递交投标文件截止之日前三个月内基本开户银行出具的资信证明（以上两种形式的资料提供任何一种即可）。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rFonts w:ascii="仿宋_GB2312" w:hAnsi="仿宋_GB2312" w:cs="仿宋_GB2312" w:eastAsia="仿宋_GB2312"/>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9、法定代表人授权委托书：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陕西学前师范学院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长安区神禾二路陕西学前师范学院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029-81530065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银行账号：52880188000137740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说明：1.履约保证金缴纳时间：中标后七日内需要缴纳履约保证金。未在规定时间内缴纳履约保证金视为拒签合同，自动放弃中标资格。 2.履约保证金缴纳形式：采用银行对公转账、电汇或者金融机构、担保机构出具的保函等非现金的形式对公形式缴纳。 3.履约保证金的退还：项目验收合格后30个日历日内，无质量问题且不存在争议，一次性无息退还至中标人账户。 4.履约保证金收取单位名称：陕西学前师范学院。</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代理服务费收费标准：参照原国家计委计价格〔2002〕1980号文和国家发改委发改办价格〔2003〕857号文标准下浮15%收取。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陕西学前师范学院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陕西学前师范学院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陕西学前师范学院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完善提升实验教学水平；提升食品营养与健康专业科研水平与人才培养质量；提升儿童特色食品研究与开发高校工程中心科研水平；提高教师科研及成果转化水平，提升实践育人质量。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高通量生物突变系统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标的名称：高通量生物突变系统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放电技术：在标准大气压下释放淡紫色光圈。</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适用气源：</w:t>
            </w:r>
            <w:r>
              <w:rPr>
                <w:rFonts w:ascii="仿宋_GB2312" w:hAnsi="仿宋_GB2312" w:cs="仿宋_GB2312" w:eastAsia="仿宋_GB2312"/>
                <w:sz w:val="24"/>
                <w:color w:val="000000"/>
              </w:rPr>
              <w:t>≥99.999%及以上高纯氦气</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流量控制模块：</w:t>
            </w:r>
          </w:p>
          <w:p>
            <w:pPr>
              <w:pStyle w:val="null3"/>
              <w:jc w:val="left"/>
            </w:pPr>
            <w:r>
              <w:rPr>
                <w:rFonts w:ascii="仿宋_GB2312" w:hAnsi="仿宋_GB2312" w:cs="仿宋_GB2312" w:eastAsia="仿宋_GB2312"/>
                <w:sz w:val="24"/>
                <w:color w:val="000000"/>
              </w:rPr>
              <w:t>3.1.</w:t>
            </w:r>
            <w:r>
              <w:rPr>
                <w:rFonts w:ascii="仿宋_GB2312" w:hAnsi="仿宋_GB2312" w:cs="仿宋_GB2312" w:eastAsia="仿宋_GB2312"/>
                <w:sz w:val="24"/>
                <w:color w:val="000000"/>
              </w:rPr>
              <w:t>控制范围：气量：</w:t>
            </w:r>
            <w:r>
              <w:rPr>
                <w:rFonts w:ascii="仿宋_GB2312" w:hAnsi="仿宋_GB2312" w:cs="仿宋_GB2312" w:eastAsia="仿宋_GB2312"/>
                <w:sz w:val="24"/>
                <w:color w:val="000000"/>
              </w:rPr>
              <w:t>0~15SLM（标准升/分钟），</w:t>
            </w:r>
            <w:r>
              <w:rPr>
                <w:rFonts w:ascii="仿宋_GB2312" w:hAnsi="仿宋_GB2312" w:cs="仿宋_GB2312" w:eastAsia="仿宋_GB2312"/>
                <w:sz w:val="24"/>
                <w:color w:val="000000"/>
              </w:rPr>
              <w:t>流量：</w:t>
            </w:r>
            <w:r>
              <w:rPr>
                <w:rFonts w:ascii="仿宋_GB2312" w:hAnsi="仿宋_GB2312" w:cs="仿宋_GB2312" w:eastAsia="仿宋_GB2312"/>
                <w:sz w:val="24"/>
                <w:color w:val="000000"/>
              </w:rPr>
              <w:t>2%-100%F.S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3.2.</w:t>
            </w:r>
            <w:r>
              <w:rPr>
                <w:rFonts w:ascii="仿宋_GB2312" w:hAnsi="仿宋_GB2312" w:cs="仿宋_GB2312" w:eastAsia="仿宋_GB2312"/>
                <w:sz w:val="24"/>
                <w:color w:val="000000"/>
              </w:rPr>
              <w:t>精度</w:t>
            </w:r>
            <w:r>
              <w:rPr>
                <w:rFonts w:ascii="仿宋_GB2312" w:hAnsi="仿宋_GB2312" w:cs="仿宋_GB2312" w:eastAsia="仿宋_GB2312"/>
                <w:sz w:val="24"/>
                <w:color w:val="000000"/>
              </w:rPr>
              <w:t>：</w:t>
            </w:r>
            <w:r>
              <w:rPr>
                <w:rFonts w:ascii="仿宋_GB2312" w:hAnsi="仿宋_GB2312" w:cs="仿宋_GB2312" w:eastAsia="仿宋_GB2312"/>
                <w:sz w:val="24"/>
                <w:color w:val="000000"/>
              </w:rPr>
              <w:t>控制精度：</w:t>
            </w:r>
            <w:r>
              <w:rPr>
                <w:rFonts w:ascii="仿宋_GB2312" w:hAnsi="仿宋_GB2312" w:cs="仿宋_GB2312" w:eastAsia="仿宋_GB2312"/>
                <w:sz w:val="24"/>
                <w:color w:val="000000"/>
              </w:rPr>
              <w:t>±1.0% F.S.（满量程）</w:t>
            </w:r>
            <w:r>
              <w:rPr>
                <w:rFonts w:ascii="仿宋_GB2312" w:hAnsi="仿宋_GB2312" w:cs="仿宋_GB2312" w:eastAsia="仿宋_GB2312"/>
                <w:sz w:val="24"/>
                <w:color w:val="000000"/>
              </w:rPr>
              <w:t>，</w:t>
            </w:r>
            <w:r>
              <w:rPr>
                <w:rFonts w:ascii="仿宋_GB2312" w:hAnsi="仿宋_GB2312" w:cs="仿宋_GB2312" w:eastAsia="仿宋_GB2312"/>
                <w:sz w:val="24"/>
                <w:color w:val="000000"/>
              </w:rPr>
              <w:t>线性精度</w:t>
            </w:r>
            <w:r>
              <w:rPr>
                <w:rFonts w:ascii="仿宋_GB2312" w:hAnsi="仿宋_GB2312" w:cs="仿宋_GB2312" w:eastAsia="仿宋_GB2312"/>
                <w:sz w:val="24"/>
                <w:color w:val="000000"/>
              </w:rPr>
              <w:t>：</w:t>
            </w:r>
            <w:r>
              <w:rPr>
                <w:rFonts w:ascii="仿宋_GB2312" w:hAnsi="仿宋_GB2312" w:cs="仿宋_GB2312" w:eastAsia="仿宋_GB2312"/>
                <w:sz w:val="24"/>
                <w:color w:val="000000"/>
              </w:rPr>
              <w:t>±0.5%F.S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3.3.</w:t>
            </w:r>
            <w:r>
              <w:rPr>
                <w:rFonts w:ascii="仿宋_GB2312" w:hAnsi="仿宋_GB2312" w:cs="仿宋_GB2312" w:eastAsia="仿宋_GB2312"/>
                <w:sz w:val="24"/>
                <w:color w:val="000000"/>
              </w:rPr>
              <w:t>响应时间</w:t>
            </w:r>
            <w:r>
              <w:rPr>
                <w:rFonts w:ascii="仿宋_GB2312" w:hAnsi="仿宋_GB2312" w:cs="仿宋_GB2312" w:eastAsia="仿宋_GB2312"/>
                <w:sz w:val="24"/>
                <w:color w:val="000000"/>
              </w:rPr>
              <w:t>：</w:t>
            </w:r>
            <w:r>
              <w:rPr>
                <w:rFonts w:ascii="仿宋_GB2312" w:hAnsi="仿宋_GB2312" w:cs="仿宋_GB2312" w:eastAsia="仿宋_GB2312"/>
                <w:sz w:val="24"/>
                <w:color w:val="000000"/>
              </w:rPr>
              <w:t>≤2 sec</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有效处理间距：</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射频电源模块：</w:t>
            </w:r>
          </w:p>
          <w:p>
            <w:pPr>
              <w:pStyle w:val="null3"/>
              <w:jc w:val="left"/>
            </w:pPr>
            <w:r>
              <w:rPr>
                <w:rFonts w:ascii="仿宋_GB2312" w:hAnsi="仿宋_GB2312" w:cs="仿宋_GB2312" w:eastAsia="仿宋_GB2312"/>
                <w:sz w:val="24"/>
                <w:color w:val="000000"/>
              </w:rPr>
              <w:t>5.1.</w:t>
            </w:r>
            <w:r>
              <w:rPr>
                <w:rFonts w:ascii="仿宋_GB2312" w:hAnsi="仿宋_GB2312" w:cs="仿宋_GB2312" w:eastAsia="仿宋_GB2312"/>
                <w:sz w:val="24"/>
                <w:color w:val="000000"/>
              </w:rPr>
              <w:t>输出功率</w:t>
            </w:r>
            <w:r>
              <w:rPr>
                <w:rFonts w:ascii="仿宋_GB2312" w:hAnsi="仿宋_GB2312" w:cs="仿宋_GB2312" w:eastAsia="仿宋_GB2312"/>
                <w:sz w:val="24"/>
                <w:color w:val="000000"/>
              </w:rPr>
              <w:t>≥400W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5.2.</w:t>
            </w:r>
            <w:r>
              <w:rPr>
                <w:rFonts w:ascii="仿宋_GB2312" w:hAnsi="仿宋_GB2312" w:cs="仿宋_GB2312" w:eastAsia="仿宋_GB2312"/>
                <w:sz w:val="24"/>
                <w:color w:val="000000"/>
              </w:rPr>
              <w:t>输出频率：</w:t>
            </w:r>
            <w:r>
              <w:rPr>
                <w:rFonts w:ascii="仿宋_GB2312" w:hAnsi="仿宋_GB2312" w:cs="仿宋_GB2312" w:eastAsia="仿宋_GB2312"/>
                <w:sz w:val="24"/>
                <w:color w:val="000000"/>
              </w:rPr>
              <w:t>13.56MHz</w:t>
            </w:r>
            <w:r>
              <w:rPr>
                <w:rFonts w:ascii="仿宋_GB2312" w:hAnsi="仿宋_GB2312" w:cs="仿宋_GB2312" w:eastAsia="仿宋_GB2312"/>
                <w:sz w:val="24"/>
                <w:color w:val="000000"/>
              </w:rPr>
              <w:t>±0.005%</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5.3.</w:t>
            </w:r>
            <w:r>
              <w:rPr>
                <w:rFonts w:ascii="仿宋_GB2312" w:hAnsi="仿宋_GB2312" w:cs="仿宋_GB2312" w:eastAsia="仿宋_GB2312"/>
                <w:sz w:val="24"/>
                <w:color w:val="000000"/>
              </w:rPr>
              <w:t>功率设定和实际输出误差：</w:t>
            </w:r>
            <w:r>
              <w:rPr>
                <w:rFonts w:ascii="仿宋_GB2312" w:hAnsi="仿宋_GB2312" w:cs="仿宋_GB2312" w:eastAsia="仿宋_GB2312"/>
                <w:sz w:val="24"/>
                <w:color w:val="000000"/>
              </w:rPr>
              <w:t>&lt;2W（50Ω）</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5.4.</w:t>
            </w:r>
            <w:r>
              <w:rPr>
                <w:rFonts w:ascii="仿宋_GB2312" w:hAnsi="仿宋_GB2312" w:cs="仿宋_GB2312" w:eastAsia="仿宋_GB2312"/>
                <w:sz w:val="24"/>
                <w:color w:val="000000"/>
              </w:rPr>
              <w:t>输出功率稳定度</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5.5.</w:t>
            </w:r>
            <w:r>
              <w:rPr>
                <w:rFonts w:ascii="仿宋_GB2312" w:hAnsi="仿宋_GB2312" w:cs="仿宋_GB2312" w:eastAsia="仿宋_GB2312"/>
                <w:sz w:val="24"/>
                <w:color w:val="000000"/>
              </w:rPr>
              <w:t>二次谐波输出：</w:t>
            </w:r>
            <w:r>
              <w:rPr>
                <w:rFonts w:ascii="仿宋_GB2312" w:hAnsi="仿宋_GB2312" w:cs="仿宋_GB2312" w:eastAsia="仿宋_GB2312"/>
                <w:sz w:val="24"/>
                <w:color w:val="000000"/>
              </w:rPr>
              <w:t>≤-30dB ,寄生调制≤1%</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5.6.</w:t>
            </w:r>
            <w:r>
              <w:rPr>
                <w:rFonts w:ascii="仿宋_GB2312" w:hAnsi="仿宋_GB2312" w:cs="仿宋_GB2312" w:eastAsia="仿宋_GB2312"/>
                <w:sz w:val="24"/>
                <w:color w:val="000000"/>
              </w:rPr>
              <w:t>射频输出端口：</w:t>
            </w:r>
            <w:r>
              <w:rPr>
                <w:rFonts w:ascii="仿宋_GB2312" w:hAnsi="仿宋_GB2312" w:cs="仿宋_GB2312" w:eastAsia="仿宋_GB2312"/>
                <w:sz w:val="24"/>
                <w:color w:val="000000"/>
              </w:rPr>
              <w:t>L16K(N)</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冷却系统：</w:t>
            </w:r>
            <w:r>
              <w:rPr>
                <w:rFonts w:ascii="仿宋_GB2312" w:hAnsi="仿宋_GB2312" w:cs="仿宋_GB2312" w:eastAsia="仿宋_GB2312"/>
                <w:sz w:val="24"/>
                <w:color w:val="000000"/>
              </w:rPr>
              <w:t>包含一套</w:t>
            </w:r>
            <w:r>
              <w:rPr>
                <w:rFonts w:ascii="仿宋_GB2312" w:hAnsi="仿宋_GB2312" w:cs="仿宋_GB2312" w:eastAsia="仿宋_GB2312"/>
                <w:sz w:val="24"/>
                <w:color w:val="000000"/>
              </w:rPr>
              <w:t>外接制冷系统</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等离子体射流温度</w:t>
            </w:r>
            <w:r>
              <w:rPr>
                <w:rFonts w:ascii="仿宋_GB2312" w:hAnsi="仿宋_GB2312" w:cs="仿宋_GB2312" w:eastAsia="仿宋_GB2312"/>
                <w:sz w:val="24"/>
                <w:color w:val="000000"/>
              </w:rPr>
              <w:t>≤37℃</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样品处理系统：载盘</w:t>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,处理范围直径≥φ85mm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诱变时间：</w:t>
            </w:r>
            <w:r>
              <w:rPr>
                <w:rFonts w:ascii="仿宋_GB2312" w:hAnsi="仿宋_GB2312" w:cs="仿宋_GB2312" w:eastAsia="仿宋_GB2312"/>
                <w:sz w:val="24"/>
                <w:color w:val="000000"/>
              </w:rPr>
              <w:t>0~7200s可调</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.灭</w:t>
            </w:r>
            <w:r>
              <w:rPr>
                <w:rFonts w:ascii="仿宋_GB2312" w:hAnsi="仿宋_GB2312" w:cs="仿宋_GB2312" w:eastAsia="仿宋_GB2312"/>
                <w:sz w:val="24"/>
                <w:color w:val="000000"/>
              </w:rPr>
              <w:t>菌系统：紫外灯</w:t>
            </w:r>
            <w:r>
              <w:rPr>
                <w:rFonts w:ascii="仿宋_GB2312" w:hAnsi="仿宋_GB2312" w:cs="仿宋_GB2312" w:eastAsia="仿宋_GB2312"/>
                <w:sz w:val="24"/>
                <w:color w:val="000000"/>
              </w:rPr>
              <w:t>≥6</w:t>
            </w:r>
            <w:r>
              <w:rPr>
                <w:rFonts w:ascii="仿宋_GB2312" w:hAnsi="仿宋_GB2312" w:cs="仿宋_GB2312" w:eastAsia="仿宋_GB2312"/>
                <w:sz w:val="24"/>
                <w:color w:val="000000"/>
              </w:rPr>
              <w:t>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自动化控制模块：</w:t>
            </w:r>
            <w:r>
              <w:rPr>
                <w:rFonts w:ascii="仿宋_GB2312" w:hAnsi="仿宋_GB2312" w:cs="仿宋_GB2312" w:eastAsia="仿宋_GB2312"/>
                <w:sz w:val="24"/>
                <w:color w:val="000000"/>
              </w:rPr>
              <w:t>PLC</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合同签订之日起90个工作日内完成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陕西学前师范学院指定地点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所有标的物完成交付,项目验收完成后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自项目验收合格之日起，提供为期三年的质保服务。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1、服务要求/标准、人员安排 供应商针对本项目有完善的服务管理体系说明，能确保项目顺利实施；供应商对本项目人员安排有具体方案，分工合理、责任明确；供应商针对本项目提供专业的技术培训，包含但不限定以班级为单位对师生进行开班讲座、课程培训、学术交流、合作研究、相关案例分析分享、对此进承诺。 2、运行维护、升级更新、备品备件、耗材等后续采购情况 2.1运行维护：供应商及制造商定期组织设备维护保养，供应商提供针对本项目的维护保养计划方案说明择优考量。 2.2升级更新：仪器设备后期软件如需升级更新，供应商应免费进行升级更新，提供针对本项目的承诺说明。 2.3备品备件/耗材：如有更换需求，必须以≤8折的价格优惠，供应商提供针对本项目的承诺书。 3、（1）供应商需要在线提交所有通过电子化交易平台实施的政府采购项目的投标文件，同时，线下提交纸质投标文件壹份。若电子投标文件与纸质投标文件不一致的，以电子投标文件为准。（2）线下投标文件递交截止时间与线上开评标时间一致。（3）纸质投标文件可邮寄递交，应于递交投标文件截止时间前邮寄到西安市高新区丈八一路 1 号汇鑫中心 D 座 2206 室（陕西德勤招标有限公司）。 4、投标保证金注意事项：（1）投标保证金须从投标供应商户名支付，如从个人户名或非投标供应商户名支付，将被拒绝，视为自动放弃投标权利（该个人是投标供应商的情形除外）；以保函形式交纳投标保证金的，投标供应商应在投标截止时间前将保函扫描成清晰的PDF 文件，发送至邮箱 deqinjxm@126.com（邮件命名：项目编号）；投标供应商应在投标文件中附保函扫描件。保函必须由具有开具投标保函资格的单位开具；若中标人违约，开具保函单位承担连带责任；（2）投标保证金的提交金额、时间不满足招标文件要求的，投标无效；（3）未按指定账户提交的，我公司将退回，投标供应商须在文件递交截止时间前按照指定账户再次提交。 5、合同价款：合同总价一次性包死，不受市场价格变化因素的影响。除本合同总金额外，采购人不再支付任何其他费用。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提供2023或2024年度经审计的财务报告，或其递交投标文件截止之日前三个月内基本开户银行出具的资信证明（以上两种形式的资料提供任何一种即可）。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提供2023或2024年度经审计的财务报告，或其递交投标文件截止之日前三个月内基本开户银行出具的资信证明（以上两种形式的资料提供任何一种即可）。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投标供应商未被列入“信用中国”网站记录的“失信被执行人”或“重大税收违法失信主体”名单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投标文件中）；法定代表人授权他人参加投标的，须提供法定代表人授权委托书。投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中小企业声明函 商务应答表 技术方案 保证金汇款声明函、保函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完全理解接受招标文件商务条款，并签署商务应答表。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保证金汇款声明函、保函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中小企业声明函 商务应答表 技术方案 保证金汇款声明函、保函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供应商响应产品的技术参数、配置和功能需求进行评审。评审依据为生产厂家出具的、相应的功能证明材料(证明材料包括但不限于第三方机构出具的检测报告或功能截图或产品说明书或技术参数白皮书等，加盖供应商公章)； 技术响应分(30分):完全响应招标文件要求，满足采购需求、技术参数没有负偏离，计基本分30分;参数每负偏离一项扣2分，扣完为止;如出现技术参数完全复制的情况，由专家视其情况给予1-5分的扣分。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的实施方案，内容包含：1、提供具体可行的实施方案，具体的供货组织安排；2、详细的人员、财力调配、运输、派送措施及设备到货后验收；3、实施进度及保证措施设备安装；4、人员组成及人员调配、安装调试等。 评审标准：根据方案的完整全面，实施方案组织合理，调配运输方案清晰明确，进度保障措施先进可靠，能够切实保障项目时效性的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提供2022年1月1日至今此类产品业绩（以合同签订时间为准），提供完整合同及发票复印件（扫描件）加盖供应商公章，每份计1分，最高得10分。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根据供应商提供的产品质量保证，内容包括：1、整体配置具有合理性、一致性、兼容性；2、产品品牌、型号、产地明确，备品配件供应有保障；3、可提供的增值服务；4、保证使用单位能熟练操作维护和正常使用。 评审标准：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针对本项目提供售后服务方案，内容包含：1、为本项目配备的售后服务团队；2、可提供增值服务；3、保修期的保修范围和维护期的服务范围等。 评审标准：方案描述详尽清晰，可行性高，内容完整无缺项漏项，得6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1、升级更新：仪器设备后期软件如需升级更新，供应商应免费进行升级更新，提供服务承诺函加盖供应商公章，得1分，未提供或承诺内容不符合要求不得分； 2、备品备件/耗材：如有更换需求，必须以≤8折的价格优惠，提供服务承诺函加盖供应商公章，得1分，未提供或承诺内容不符合要求不得分。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详见附件：保证金汇款声明函、保函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