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8B72D">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14:paraId="6018127C">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14:paraId="16EB0558">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0BD485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135A93F7">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400689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02E483">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54058A7E">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26E9307A">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5A8EC029">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5175C5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AAC128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0F9D681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5141E6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1A5EA2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5AC96C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611004F">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5F41FC6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0192BD4A">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2F4F4F3E">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708735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3A1F6D1">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417BDAD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C73E769">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461BF373">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14:paraId="4679D6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84029">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1702D9C5">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31C40121">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6412F566">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14:paraId="3DD5CD1F">
      <w:pPr>
        <w:spacing w:line="500" w:lineRule="exact"/>
        <w:ind w:firstLine="3840" w:firstLineChars="1600"/>
        <w:outlineLvl w:val="9"/>
        <w:rPr>
          <w:rFonts w:hint="eastAsia" w:ascii="宋体" w:hAnsi="宋体" w:eastAsia="宋体" w:cs="宋体"/>
          <w:color w:val="auto"/>
          <w:sz w:val="24"/>
          <w:szCs w:val="24"/>
          <w:highlight w:val="none"/>
        </w:rPr>
      </w:pPr>
    </w:p>
    <w:p w14:paraId="62F1A984">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14:paraId="77F4FB25">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5193C35">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084CE6D1">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88E662B">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.管理关系：是指不具有出资持股关系的其他单位之间存在的管理与被管理关系，如一些上下级关系的事业单位和团体组织。</w:t>
      </w:r>
    </w:p>
    <w:p w14:paraId="291E85D7">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337D5BC">
      <w:pPr>
        <w:pStyle w:val="4"/>
        <w:wordWrap w:val="0"/>
        <w:spacing w:after="0" w:line="400" w:lineRule="exact"/>
        <w:ind w:firstLine="420" w:firstLineChars="200"/>
        <w:outlineLvl w:val="9"/>
      </w:pPr>
      <w:r>
        <w:rPr>
          <w:rFonts w:hint="eastAsia" w:ascii="宋体" w:hAnsi="宋体" w:cs="宋体"/>
          <w:color w:val="auto"/>
          <w:sz w:val="21"/>
          <w:szCs w:val="21"/>
          <w:highlight w:val="none"/>
          <w:lang w:val="en-US" w:eastAsia="zh-CN"/>
        </w:rPr>
        <w:t>4</w:t>
      </w:r>
      <w:bookmarkStart w:id="0" w:name="_GoBack"/>
      <w:bookmarkEnd w:id="0"/>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2A1174AF"/>
    <w:rsid w:val="33475A4F"/>
    <w:rsid w:val="3C3232B3"/>
    <w:rsid w:val="5A36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478</Words>
  <Characters>483</Characters>
  <Lines>0</Lines>
  <Paragraphs>0</Paragraphs>
  <TotalTime>0</TotalTime>
  <ScaleCrop>false</ScaleCrop>
  <LinksUpToDate>false</LinksUpToDate>
  <CharactersWithSpaces>562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2025-06-26T13:21:46Z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5FFB2ADF739F4F4AA5AE28510F2F3F43_11</vt:lpwstr>
  </property>
  <property fmtid="{D5CDD505-2E9C-101B-9397-08002B2CF9AE}" pid="4" name="KSOTemplateDocerSaveRecord">
    <vt:lpwstr>eyJoZGlkIjoiY2YzMTcxODczODNkNjg0NGQ4ODVkZWU3OWJjN2Y2ZjYiLCJ1c2VySWQiOiIyMzI0Njk3NzUifQ==</vt:lpwstr>
  </property>
</Properties>
</file>