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2F398">
      <w:pPr>
        <w:spacing w:line="360" w:lineRule="atLeast"/>
        <w:jc w:val="center"/>
        <w:outlineLvl w:val="9"/>
        <w:rPr>
          <w:rFonts w:ascii="宋体" w:hAnsi="宋体"/>
          <w:b/>
          <w:sz w:val="32"/>
          <w:szCs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 w14:paraId="3B194F58"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lang w:eastAsia="zh-CN"/>
        </w:rPr>
        <w:t>陕西德勤招标有限公司</w:t>
      </w:r>
    </w:p>
    <w:p w14:paraId="629D724F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7C0CBB8F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6EE9BF40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107B7826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C207715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2808F4AC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1B678B0F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CDD8F45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794829F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43240A41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 w14:paraId="7AA42563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8F28EB9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重大违法记录，是指供应商因违法经营受到刑事处罚或者责令停产停业、吊销许可证后者执照、较大数额罚款等行政处罚。</w:t>
      </w:r>
    </w:p>
    <w:p w14:paraId="215882D6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122C210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4D2760A"/>
    <w:rsid w:val="14E63FE5"/>
    <w:rsid w:val="24D2760A"/>
    <w:rsid w:val="3C3232B3"/>
    <w:rsid w:val="4377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450</Words>
  <Characters>464</Characters>
  <Lines>0</Lines>
  <Paragraphs>0</Paragraphs>
  <TotalTime>0</TotalTime>
  <ScaleCrop>false</ScaleCrop>
  <LinksUpToDate>false</LinksUpToDate>
  <CharactersWithSpaces>590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贾旭鸣</dc:creator>
  <cp:lastModifiedBy>贾旭鸣</cp:lastModifiedBy>
  <dcterms:modified xsi:type="dcterms:W3CDTF">2025-06-26T13:22:15Z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9CA7C5535BBD4F81B353FEBEE6B2BDBE_11</vt:lpwstr>
  </property>
  <property fmtid="{D5CDD505-2E9C-101B-9397-08002B2CF9AE}" pid="4" name="KSOTemplateDocerSaveRecord">
    <vt:lpwstr>eyJoZGlkIjoiY2YzMTcxODczODNkNjg0NGQ4ODVkZWU3OWJjN2Y2ZjYiLCJ1c2VySWQiOiIyMzI0Njk3NzUifQ==</vt:lpwstr>
  </property>
</Properties>
</file>