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版本号：SDZC2025-146.2B220250928001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2025年编写出版宣传老年文化图书项目(三次)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SDZC2025-146.2B2</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2025年编写出版宣传老年文化图书项目(三次)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SDZC2025-146.2B2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2025年编写出版宣传老年文化图书项目(三次)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2025年编写出版宣传老年文化图书，具体内容详见招标文件。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1、营业执照：具有独立承担民事责任能力的法人、其他组织或自然人，并出具供应商合法注册有效的营业执照或其他组织法人证书等国家规定的相关证明，自然人参与的提供其身份证明；</w:t>
      </w:r>
    </w:p>
    <w:p>
      <w:pPr>
        <w:pStyle w:val="null3"/>
      </w:pPr>
      <w:r>
        <w:rPr>
          <w:rFonts w:ascii="仿宋_GB2312" w:hAnsi="仿宋_GB2312" w:cs="仿宋_GB2312" w:eastAsia="仿宋_GB2312"/>
        </w:rPr>
        <w:t>2、财务状况：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4、社会保障资金缴纳证明：社会保障资金缴纳证明：提供2025年5月至今三个月的社保缴纳凭据或社保机构开具的社会保险参保缴纳情况证明。依法不需要缴纳社会保障资金的单位应提供相关证明材料；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5、书面说明及承诺：提供具有履行本合同所必需的设备和专业技术能力的说明及承诺（提供书面说明及承诺，加盖投标人公章）；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7、行业资质要求：提供新闻出版部门颁发的《中华人民共和国图书出版许可证》,《中华人民共和国出版物经营许可证》或《中华人民共和国出版物发行许可证》（提供证书复印件，加盖投标人公章）；</w:t>
      </w:r>
    </w:p>
    <w:p>
      <w:pPr>
        <w:pStyle w:val="null3"/>
      </w:pPr>
      <w:r>
        <w:rPr>
          <w:rFonts w:ascii="仿宋_GB2312" w:hAnsi="仿宋_GB2312" w:cs="仿宋_GB2312" w:eastAsia="仿宋_GB2312"/>
        </w:rPr>
        <w:t>8、法定代表人授权委托书：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9、投标担保：投标保证金交纳凭证或担保函（投标保证金交纳凭证为银行凭证，担保函为财政部门认可的政府采购信用担保机构出具）；</w:t>
      </w:r>
    </w:p>
    <w:p>
      <w:pPr>
        <w:pStyle w:val="null3"/>
      </w:pPr>
      <w:r>
        <w:rPr>
          <w:rFonts w:ascii="仿宋_GB2312" w:hAnsi="仿宋_GB2312" w:cs="仿宋_GB2312" w:eastAsia="仿宋_GB2312"/>
        </w:rPr>
        <w:t>10、信用信息査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宋薇（2号工位）、魏蕾、姚文霄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开户行名称：陕西上德招标有限公司；开户行：西安银行股份有限公司文景路支行；账号：707011510000013522；财务部联系方式：029-86673953、029-86518381、029-89299829、029-89293231转813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采购人应按照政府采购合同约定的技术、服务标准组织对投标人每一项技术、服务标准的履约情况进行验收，并出具验收书。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联系电话：029-86673953、029-86518381、029-89299829、029-89293231转802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2025年编写出版宣传老年文化图书，具体内容详见招标文件。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老年文化系列图书出版发行和印制发放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标的名称：老年文化系列图书出版发行和印制发放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出版印刷发行征集的不少于10类书目老年文化图书，每类不少于4000册，共计不少于40000册老年文化图书。</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设计风格：以内容为基础，表格规范，简洁大方，根据图书阅读群体特点出版部分适老化大字本图文结合图书，便于阅读。</w:t>
            </w:r>
          </w:p>
          <w:p>
            <w:pPr>
              <w:pStyle w:val="null3"/>
            </w:pPr>
            <w:r>
              <w:rPr>
                <w:rFonts w:ascii="仿宋_GB2312" w:hAnsi="仿宋_GB2312" w:cs="仿宋_GB2312" w:eastAsia="仿宋_GB2312"/>
              </w:rPr>
              <w:t>（三）图书印刷要求</w:t>
            </w:r>
          </w:p>
          <w:p>
            <w:pPr>
              <w:pStyle w:val="null3"/>
            </w:pPr>
            <w:r>
              <w:rPr>
                <w:rFonts w:ascii="仿宋_GB2312" w:hAnsi="仿宋_GB2312" w:cs="仿宋_GB2312" w:eastAsia="仿宋_GB2312"/>
              </w:rPr>
              <w:t>1.印刷技术参数要求</w:t>
            </w:r>
          </w:p>
          <w:p>
            <w:pPr>
              <w:pStyle w:val="null3"/>
            </w:pPr>
            <w:r>
              <w:rPr>
                <w:rFonts w:ascii="仿宋_GB2312" w:hAnsi="仿宋_GB2312" w:cs="仿宋_GB2312" w:eastAsia="仿宋_GB2312"/>
              </w:rPr>
              <w:t>书名：待定（后期接采购人通知）</w:t>
            </w:r>
          </w:p>
          <w:p>
            <w:pPr>
              <w:pStyle w:val="null3"/>
            </w:pPr>
            <w:r>
              <w:rPr>
                <w:rFonts w:ascii="仿宋_GB2312" w:hAnsi="仿宋_GB2312" w:cs="仿宋_GB2312" w:eastAsia="仿宋_GB2312"/>
              </w:rPr>
              <w:t>开本：成品尺寸为170mm×235mm</w:t>
            </w:r>
          </w:p>
          <w:p>
            <w:pPr>
              <w:pStyle w:val="null3"/>
            </w:pPr>
            <w:r>
              <w:rPr>
                <w:rFonts w:ascii="仿宋_GB2312" w:hAnsi="仿宋_GB2312" w:cs="仿宋_GB2312" w:eastAsia="仿宋_GB2312"/>
              </w:rPr>
              <w:t>用纸：页数按实际确定，80克双胶纸；封面为250克铜版纸；</w:t>
            </w:r>
          </w:p>
          <w:p>
            <w:pPr>
              <w:pStyle w:val="null3"/>
            </w:pPr>
            <w:r>
              <w:rPr>
                <w:rFonts w:ascii="仿宋_GB2312" w:hAnsi="仿宋_GB2312" w:cs="仿宋_GB2312" w:eastAsia="仿宋_GB2312"/>
              </w:rPr>
              <w:t>印数：不少于40000册。</w:t>
            </w:r>
          </w:p>
          <w:p>
            <w:pPr>
              <w:pStyle w:val="null3"/>
            </w:pPr>
            <w:r>
              <w:rPr>
                <w:rFonts w:ascii="仿宋_GB2312" w:hAnsi="仿宋_GB2312" w:cs="仿宋_GB2312" w:eastAsia="仿宋_GB2312"/>
              </w:rPr>
              <w:t>封面：覆哑光膜</w:t>
            </w:r>
          </w:p>
          <w:p>
            <w:pPr>
              <w:pStyle w:val="null3"/>
            </w:pPr>
            <w:r>
              <w:rPr>
                <w:rFonts w:ascii="仿宋_GB2312" w:hAnsi="仿宋_GB2312" w:cs="仿宋_GB2312" w:eastAsia="仿宋_GB2312"/>
              </w:rPr>
              <w:t>装订：无线胶装</w:t>
            </w:r>
          </w:p>
          <w:p>
            <w:pPr>
              <w:pStyle w:val="null3"/>
            </w:pPr>
            <w:r>
              <w:rPr>
                <w:rFonts w:ascii="仿宋_GB2312" w:hAnsi="仿宋_GB2312" w:cs="仿宋_GB2312" w:eastAsia="仿宋_GB2312"/>
              </w:rPr>
              <w:t>印刷工艺：四色彩印</w:t>
            </w:r>
          </w:p>
          <w:p>
            <w:pPr>
              <w:pStyle w:val="null3"/>
            </w:pPr>
            <w:r>
              <w:rPr>
                <w:rFonts w:ascii="仿宋_GB2312" w:hAnsi="仿宋_GB2312" w:cs="仿宋_GB2312" w:eastAsia="仿宋_GB2312"/>
              </w:rPr>
              <w:t>（采购预算包含出版社管理费、书号费）</w:t>
            </w:r>
          </w:p>
          <w:p>
            <w:pPr>
              <w:pStyle w:val="null3"/>
              <w:numPr>
                <w:ilvl w:val="0"/>
                <w:numId w:val="1"/>
              </w:numPr>
            </w:pPr>
            <w:r>
              <w:rPr>
                <w:rFonts w:ascii="仿宋_GB2312" w:hAnsi="仿宋_GB2312" w:cs="仿宋_GB2312" w:eastAsia="仿宋_GB2312"/>
              </w:rPr>
              <w:t>印刷其他要求：</w:t>
            </w:r>
          </w:p>
          <w:p>
            <w:pPr>
              <w:pStyle w:val="null3"/>
            </w:pPr>
            <w:r>
              <w:rPr>
                <w:rFonts w:ascii="仿宋_GB2312" w:hAnsi="仿宋_GB2312" w:cs="仿宋_GB2312" w:eastAsia="仿宋_GB2312"/>
              </w:rPr>
              <w:t>2.1印刷字迹清晰，黑色均匀适度，书页无黑点，无缺字；纸质色泽一致，纸张平整光洁不翘；彩色还原性好、套印准确，着墨均匀。</w:t>
            </w:r>
          </w:p>
          <w:p>
            <w:pPr>
              <w:pStyle w:val="null3"/>
            </w:pPr>
            <w:r>
              <w:rPr>
                <w:rFonts w:ascii="仿宋_GB2312" w:hAnsi="仿宋_GB2312" w:cs="仿宋_GB2312" w:eastAsia="仿宋_GB2312"/>
              </w:rPr>
              <w:t>2.2页码装订无错漏、颠倒，无倒页、漏页；装订精细，胶质涂抹均匀适度，符合装订标准；成品包装，整本无破损。</w:t>
            </w:r>
          </w:p>
          <w:p>
            <w:pPr>
              <w:pStyle w:val="null3"/>
            </w:pPr>
            <w:r>
              <w:rPr>
                <w:rFonts w:ascii="仿宋_GB2312" w:hAnsi="仿宋_GB2312" w:cs="仿宋_GB2312" w:eastAsia="仿宋_GB2312"/>
              </w:rPr>
              <w:t>（四）图书出版服务要求</w:t>
            </w:r>
          </w:p>
          <w:p>
            <w:pPr>
              <w:pStyle w:val="null3"/>
            </w:pPr>
            <w:r>
              <w:rPr>
                <w:rFonts w:ascii="仿宋_GB2312" w:hAnsi="仿宋_GB2312" w:cs="仿宋_GB2312" w:eastAsia="仿宋_GB2312"/>
              </w:rPr>
              <w:t>1.出版的图书版权归陕西省民政厅所有，编者享有署名权。如陕西省民政厅因案涉图书遭受第三人主张知识产权侵权的，陕西省民政厅有权要求相关主体承担因此产生的全部经济损失及维权费用（维权费用包括但不限于诉讼费、律师费、公证费、鉴定费、差旅费等全部费用）。</w:t>
            </w:r>
          </w:p>
          <w:p>
            <w:pPr>
              <w:pStyle w:val="null3"/>
            </w:pPr>
            <w:r>
              <w:rPr>
                <w:rFonts w:ascii="仿宋_GB2312" w:hAnsi="仿宋_GB2312" w:cs="仿宋_GB2312" w:eastAsia="仿宋_GB2312"/>
              </w:rPr>
              <w:t>2.根据图书阅读人群，出版部分适老化大字本图书。</w:t>
            </w:r>
          </w:p>
          <w:p>
            <w:pPr>
              <w:pStyle w:val="null3"/>
            </w:pPr>
            <w:r>
              <w:rPr>
                <w:rFonts w:ascii="仿宋_GB2312" w:hAnsi="仿宋_GB2312" w:cs="仿宋_GB2312" w:eastAsia="仿宋_GB2312"/>
              </w:rPr>
              <w:t>3.供应商负责图书出版的全流程，包括封面设计、编辑加工、校对、印刷、发行等。</w:t>
            </w:r>
          </w:p>
          <w:p>
            <w:pPr>
              <w:pStyle w:val="null3"/>
            </w:pPr>
            <w:r>
              <w:rPr>
                <w:rFonts w:ascii="仿宋_GB2312" w:hAnsi="仿宋_GB2312" w:cs="仿宋_GB2312" w:eastAsia="仿宋_GB2312"/>
              </w:rPr>
              <w:t>4.供应商有义务提供图书出版咨询服务。</w:t>
            </w:r>
          </w:p>
          <w:p>
            <w:pPr>
              <w:pStyle w:val="null3"/>
            </w:pPr>
            <w:r>
              <w:rPr>
                <w:rFonts w:ascii="仿宋_GB2312" w:hAnsi="仿宋_GB2312" w:cs="仿宋_GB2312" w:eastAsia="仿宋_GB2312"/>
              </w:rPr>
              <w:t>5.图书公开出版发行，每本图书有单独的书号。</w:t>
            </w:r>
          </w:p>
          <w:p>
            <w:pPr>
              <w:pStyle w:val="null3"/>
            </w:pPr>
            <w:r>
              <w:rPr>
                <w:rFonts w:ascii="仿宋_GB2312" w:hAnsi="仿宋_GB2312" w:cs="仿宋_GB2312" w:eastAsia="仿宋_GB2312"/>
              </w:rPr>
              <w:t>6.图书质量符合《出版管理条例》、《图书质量管理规定》、《图书出版管理规定》的要求。</w:t>
            </w:r>
          </w:p>
          <w:p>
            <w:pPr>
              <w:pStyle w:val="null3"/>
            </w:pPr>
            <w:r>
              <w:rPr>
                <w:rFonts w:ascii="仿宋_GB2312" w:hAnsi="仿宋_GB2312" w:cs="仿宋_GB2312" w:eastAsia="仿宋_GB2312"/>
              </w:rPr>
              <w:t>7.须严格落实国家新闻出版署规定的三审三校制度和责任编辑制度。</w:t>
            </w:r>
          </w:p>
          <w:p>
            <w:pPr>
              <w:pStyle w:val="null3"/>
            </w:pPr>
            <w:r>
              <w:rPr>
                <w:rFonts w:ascii="仿宋_GB2312" w:hAnsi="仿宋_GB2312" w:cs="仿宋_GB2312" w:eastAsia="仿宋_GB2312"/>
              </w:rPr>
              <w:t>8.出版社应具有国家合法出版资质，图书项目负责人须具有出版高级职称（副编审或编审）。</w:t>
            </w:r>
          </w:p>
          <w:p>
            <w:pPr>
              <w:pStyle w:val="null3"/>
            </w:pPr>
            <w:r>
              <w:rPr>
                <w:rFonts w:ascii="仿宋_GB2312" w:hAnsi="仿宋_GB2312" w:cs="仿宋_GB2312" w:eastAsia="仿宋_GB2312"/>
              </w:rPr>
              <w:t>9.图书责任编辑须具有出版高级或中级及以上职称，且在国家新闻出版署注册备案。</w:t>
            </w:r>
          </w:p>
          <w:p>
            <w:pPr>
              <w:pStyle w:val="null3"/>
            </w:pPr>
            <w:r>
              <w:rPr>
                <w:rFonts w:ascii="仿宋_GB2312" w:hAnsi="仿宋_GB2312" w:cs="仿宋_GB2312" w:eastAsia="仿宋_GB2312"/>
              </w:rPr>
              <w:t>10.图书印刷质量符合《印刷业管理条例》规定。</w:t>
            </w:r>
          </w:p>
          <w:p>
            <w:pPr>
              <w:pStyle w:val="null3"/>
            </w:pPr>
            <w:r>
              <w:rPr>
                <w:rFonts w:ascii="仿宋_GB2312" w:hAnsi="仿宋_GB2312" w:cs="仿宋_GB2312" w:eastAsia="仿宋_GB2312"/>
              </w:rPr>
              <w:t>11.供应商对图书出现的任何存在缺页、坏页、破损予以免费更换。</w:t>
            </w:r>
          </w:p>
          <w:p>
            <w:pPr>
              <w:pStyle w:val="null3"/>
            </w:pPr>
            <w:r>
              <w:rPr>
                <w:rFonts w:ascii="仿宋_GB2312" w:hAnsi="仿宋_GB2312" w:cs="仿宋_GB2312" w:eastAsia="仿宋_GB2312"/>
              </w:rPr>
              <w:t>12.图书排版完成，邀请行业专家组成专业团队，对样书进行把关审核。由此产生的专家费等相关费用全部由中标单位承担。</w:t>
            </w:r>
          </w:p>
          <w:p>
            <w:pPr>
              <w:pStyle w:val="null3"/>
            </w:pPr>
            <w:r>
              <w:rPr>
                <w:rFonts w:ascii="仿宋_GB2312" w:hAnsi="仿宋_GB2312" w:cs="仿宋_GB2312" w:eastAsia="仿宋_GB2312"/>
              </w:rPr>
              <w:t>13.出版社禁止在图书中加注任何商业宣传性标识。禁止擅自增印、发行发售本次服务范围的图书。</w:t>
            </w:r>
          </w:p>
          <w:p>
            <w:pPr>
              <w:pStyle w:val="null3"/>
            </w:pPr>
            <w:r>
              <w:rPr>
                <w:rFonts w:ascii="仿宋_GB2312" w:hAnsi="仿宋_GB2312" w:cs="仿宋_GB2312" w:eastAsia="仿宋_GB2312"/>
              </w:rPr>
              <w:t>（五）图书发放服务要求</w:t>
            </w:r>
          </w:p>
          <w:p>
            <w:pPr>
              <w:pStyle w:val="null3"/>
            </w:pPr>
            <w:r>
              <w:rPr>
                <w:rFonts w:ascii="仿宋_GB2312" w:hAnsi="仿宋_GB2312" w:cs="仿宋_GB2312" w:eastAsia="仿宋_GB2312"/>
              </w:rPr>
              <w:t>根据采购人要求，将出版发行印制出的图书通过快递、直送等形式进行发放，并提供全部的快递和签收凭证，相关费用全部包含在报价内。</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若产生稿费、版税等费用，均由中标单位承担。完成本项目产生的所有相关伴随费用均包含在总报价内。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2025年11月20日前（具体时间按甲方要求）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陕西省民政厅指定地点（陕西省区域内）。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满足采购人使用及考核要求，符合国家及行业相关法律政策规定。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项目验收完成后，一次性支付全部费用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需提供纸质投标文件（与电子化交易平台文件一致）正本壹份、副本贰份，以便归档使用。2.投标保证金：投标保证金仅限于通过基本账户以转账形式交纳，招标结束后以转账形式退至供应商基本账户内。投标保证金的提交金额、时间不满足招标文件要求的，响应无效；投标保证金以银行凭证为准。以保函形式交纳投标保证金的，供应商应在投标截止时间前将保函扫描成清晰的PDF文件，发送至邮箱490923473@qq.com（邮件命名：项目编号），供应商应在投标文件中附保函复印件。3.财务部联系方式：029-86673953、029-86518381、029-89299829、029-89293231转813备注：供应商在汇款时须注明项目编号+项目简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具有独立承担民事责任能力的法人、其他组织或自然人，并出具供应商合法注册有效的营业执照或其他组织法人证书等国家规定的相关证明，自然人参与的提供其身份证明；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社会保障资金缴纳证明：提供2025年5月至今三个月的社保缴纳凭据或社保机构开具的社会保险参保缴纳情况证明。依法不需要缴纳社会保障资金的单位应提供相关证明材料；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提供新闻出版部门颁发的《中华人民共和国图书出版许可证》,《中华人民共和国出版物经营许可证》或《中华人民共和国出版物发行许可证》（提供证书复印件，加盖投标人公章）；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及被授权人近三个月（2025年5月至今）在投标单位缴纳社保的证明）；法定代表人直接参加投标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信用信息査询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査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图书单册定价报价表.docx 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除明确允许投标人可以自行编写的外，投标文件未按照招标文件给定的格式和要求编制。</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投标文件未按照招标文件的要求盖章签字</w:t>
            </w:r>
          </w:p>
        </w:tc>
        <w:tc>
          <w:tcPr>
            <w:tcW w:type="dxa" w:w="3322"/>
          </w:tcPr>
          <w:p>
            <w:pPr>
              <w:pStyle w:val="null3"/>
            </w:pPr>
            <w:r>
              <w:rPr>
                <w:rFonts w:ascii="仿宋_GB2312" w:hAnsi="仿宋_GB2312" w:cs="仿宋_GB2312" w:eastAsia="仿宋_GB2312"/>
              </w:rPr>
              <w:t>投标文件未按照招标文件的要求盖章签字。</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投标报价超过采购预算</w:t>
            </w:r>
          </w:p>
        </w:tc>
        <w:tc>
          <w:tcPr>
            <w:tcW w:type="dxa" w:w="3322"/>
          </w:tcPr>
          <w:p>
            <w:pPr>
              <w:pStyle w:val="null3"/>
            </w:pPr>
            <w:r>
              <w:rPr>
                <w:rFonts w:ascii="仿宋_GB2312" w:hAnsi="仿宋_GB2312" w:cs="仿宋_GB2312" w:eastAsia="仿宋_GB2312"/>
              </w:rPr>
              <w:t>投标报价超过采购预算。</w:t>
            </w:r>
          </w:p>
        </w:tc>
        <w:tc>
          <w:tcPr>
            <w:tcW w:type="dxa" w:w="1661"/>
          </w:tcPr>
          <w:p>
            <w:pPr>
              <w:pStyle w:val="null3"/>
            </w:pPr>
            <w:r>
              <w:rPr>
                <w:rFonts w:ascii="仿宋_GB2312" w:hAnsi="仿宋_GB2312" w:cs="仿宋_GB2312" w:eastAsia="仿宋_GB2312"/>
              </w:rPr>
              <w:t>图书单册定价报价表.docx 标的清单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未对招标文件商务要求作出明确且实质性响应</w:t>
            </w:r>
          </w:p>
        </w:tc>
        <w:tc>
          <w:tcPr>
            <w:tcW w:type="dxa" w:w="3322"/>
          </w:tcPr>
          <w:p>
            <w:pPr>
              <w:pStyle w:val="null3"/>
            </w:pPr>
            <w:r>
              <w:rPr>
                <w:rFonts w:ascii="仿宋_GB2312" w:hAnsi="仿宋_GB2312" w:cs="仿宋_GB2312" w:eastAsia="仿宋_GB2312"/>
              </w:rPr>
              <w:t>未对招标文件商务要求作出明确且实质性响应。</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3322"/>
          </w:tcPr>
          <w:p>
            <w:pPr>
              <w:pStyle w:val="null3"/>
            </w:pPr>
            <w:r>
              <w:rPr>
                <w:rFonts w:ascii="仿宋_GB2312" w:hAnsi="仿宋_GB2312" w:cs="仿宋_GB2312" w:eastAsia="仿宋_GB2312"/>
              </w:rPr>
              <w:t>未对招标文件服务内容及服务要求作出明确响应，对不得偏离的要求未作出实质性响应。</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投标文件含有采购人不能接受的附加条件</w:t>
            </w:r>
          </w:p>
        </w:tc>
        <w:tc>
          <w:tcPr>
            <w:tcW w:type="dxa" w:w="3322"/>
          </w:tcPr>
          <w:p>
            <w:pPr>
              <w:pStyle w:val="null3"/>
            </w:pPr>
            <w:r>
              <w:rPr>
                <w:rFonts w:ascii="仿宋_GB2312" w:hAnsi="仿宋_GB2312" w:cs="仿宋_GB2312" w:eastAsia="仿宋_GB2312"/>
              </w:rPr>
              <w:t>投标文件含有采购人不能接受的附加条件。</w:t>
            </w:r>
          </w:p>
        </w:tc>
        <w:tc>
          <w:tcPr>
            <w:tcW w:type="dxa" w:w="1661"/>
          </w:tcPr>
          <w:p>
            <w:pPr>
              <w:pStyle w:val="null3"/>
            </w:pPr>
            <w:r>
              <w:rPr>
                <w:rFonts w:ascii="仿宋_GB2312" w:hAnsi="仿宋_GB2312" w:cs="仿宋_GB2312" w:eastAsia="仿宋_GB2312"/>
              </w:rPr>
              <w:t>开标一览表 残次品调换承诺.docx 售后服务方案.docx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业绩.docx 图书单册定价报价表.docx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残次品调换承诺.docx 售后服务方案.docx 开标一览表 重点难点分析及解决措施.docx 服务承诺.docx 图书印刷评价.docx 资格证明文件.docx 服务响应.docx 人员配备情况.docx 《拒绝政府采购领域商业贿赂承诺书》.docx 投标函 投标人认为有必要补充说明的事宜.docx 总体服务方案.docx 标的清单 投标文件封面 监狱企业的证明文件 内部管理方案及制度.docx 图书单册定价报价表.docx 业绩.docx 印刷原材料及来源渠道证明.docx 中小企业声明函 商务条款响应偏离表.docx 服务内容及服务要求响应偏离表.docx 合理化建议.docx 分项价格表.docx 实施进度计划.docx 残疾人福利性单位声明函 运输能力.docx 库房情况.docx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方案内容符合本项目要求，详细具体，内容深入全面，专业性强；方案有关论述条理清晰。包括但不限于对项目的理解，工作目标与服务标准，质量保证、风险规避措施，工作部署的合理保证措施，专业能力保障措施，保证工作的规范性措施等。 ①方案内容清晰准确、措施完整详细具体、充分满足用户实际需求的计10分； ②方案内容完整，措施内容全面，但部分内容不具体不明确的计8分； ③方案有1项缺项或内容及措施总体不详细的计6分； ④内容有2项缺项或方案内容混乱无重点的计4分； ⑤内容有3项（含）以上缺项的计2分； ⑥只有粗略描述、无实质性内容的计1分；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针对本项目制定实施进度计划，阐述服务时效及进度的保障措施。 ①计划内容详细具体，措施内容紧扣项目实际，有详尽的操作方法的计4分； ②计划内容粗略或措施缺少具体实施方法的计2分； ③计划内容混乱，措施内容缺少关键点、或存在非专门针对本项目或不适用本项目特性、套用其他项目内容情况的计1分； ④未提供相关内容的不计分。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实施进度计划.docx</w:t>
            </w:r>
          </w:p>
        </w:tc>
      </w:tr>
      <w:tr>
        <w:tc>
          <w:tcPr>
            <w:tcW w:type="dxa" w:w="831"/>
            <w:vMerge/>
          </w:tcPr>
          <w:p/>
        </w:tc>
        <w:tc>
          <w:tcPr>
            <w:tcW w:type="dxa" w:w="1661"/>
          </w:tcPr>
          <w:p>
            <w:pPr>
              <w:pStyle w:val="null3"/>
            </w:pPr>
            <w:r>
              <w:rPr>
                <w:rFonts w:ascii="仿宋_GB2312" w:hAnsi="仿宋_GB2312" w:cs="仿宋_GB2312" w:eastAsia="仿宋_GB2312"/>
              </w:rPr>
              <w:t>内部管理方案及制度</w:t>
            </w:r>
          </w:p>
        </w:tc>
        <w:tc>
          <w:tcPr>
            <w:tcW w:type="dxa" w:w="2492"/>
          </w:tcPr>
          <w:p>
            <w:pPr>
              <w:pStyle w:val="null3"/>
            </w:pPr>
            <w:r>
              <w:rPr>
                <w:rFonts w:ascii="仿宋_GB2312" w:hAnsi="仿宋_GB2312" w:cs="仿宋_GB2312" w:eastAsia="仿宋_GB2312"/>
              </w:rPr>
              <w:t>针对本项目提供内部管理方案及制度，内容包括但不限于内部管理架构、工作流程、信息反馈渠道、各岗位管理制度、岗位职责、内部质量控制方案；自查制度等。 ①内容完整、详细、合理，管理方案全面，管理架构健全、各项管理制度全面具体、详细完整的计6分； ②方案全面，管理架构健全、有管理制度但内容不具体，重点不突出的计4分； ③管理架构不健全，管制制度缺失，管理方案混乱的计2分； ④管理架构不健全，无管理制度及管理方案的计1分； ⑤未提供不计分。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内部管理方案及制度.docx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①方案对项目重点、难点的关键点分析准确，解决方案得当的计6分； ②方案只有框架，内容粗略的计4分； ③方案存在重大缺陷的计2分；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完全符合、满足招标文件服务内容及服务要求的，计3分，有负偏离的此项不计分。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图书印刷评价</w:t>
            </w:r>
          </w:p>
        </w:tc>
        <w:tc>
          <w:tcPr>
            <w:tcW w:type="dxa" w:w="2492"/>
          </w:tcPr>
          <w:p>
            <w:pPr>
              <w:pStyle w:val="null3"/>
            </w:pPr>
            <w:r>
              <w:rPr>
                <w:rFonts w:ascii="仿宋_GB2312" w:hAnsi="仿宋_GB2312" w:cs="仿宋_GB2312" w:eastAsia="仿宋_GB2312"/>
              </w:rPr>
              <w:t>在满足本项目图书出版印刷册数要求（40000册）的基础上，每增加2000册的计1分，计满10分为止。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图书印刷评价.docx</w:t>
            </w:r>
          </w:p>
        </w:tc>
      </w:tr>
      <w:tr>
        <w:tc>
          <w:tcPr>
            <w:tcW w:type="dxa" w:w="831"/>
            <w:vMerge/>
          </w:tcPr>
          <w:p/>
        </w:tc>
        <w:tc>
          <w:tcPr>
            <w:tcW w:type="dxa" w:w="1661"/>
          </w:tcPr>
          <w:p>
            <w:pPr>
              <w:pStyle w:val="null3"/>
            </w:pPr>
            <w:r>
              <w:rPr>
                <w:rFonts w:ascii="仿宋_GB2312" w:hAnsi="仿宋_GB2312" w:cs="仿宋_GB2312" w:eastAsia="仿宋_GB2312"/>
              </w:rPr>
              <w:t>人员配备情况1</w:t>
            </w:r>
          </w:p>
        </w:tc>
        <w:tc>
          <w:tcPr>
            <w:tcW w:type="dxa" w:w="2492"/>
          </w:tcPr>
          <w:p>
            <w:pPr>
              <w:pStyle w:val="null3"/>
            </w:pPr>
            <w:r>
              <w:rPr>
                <w:rFonts w:ascii="仿宋_GB2312" w:hAnsi="仿宋_GB2312" w:cs="仿宋_GB2312" w:eastAsia="仿宋_GB2312"/>
              </w:rPr>
              <w:t>图书项目负责人具有出版高级职称（副编审或编审）；图书责任编辑具有出版高级或中级及以上职称；每提供一个计2分，总分4分，未提供不计分。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人员配备情况2</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①内容详细具体，服务人员数量充足，满足本项目需求，人员经验丰富，岗位职责明确清晰，证明材料齐全的计8分； ②方案内容完整，人员专业能力及分工能满足项目需求，资料齐全，但方案描述不够详细或人员专业经验不明确的计6分； ③方案内容有1项欠缺，或相关证明资料有欠缺的计4分； ④方案内容有2项欠缺，或人员专业、经验有欠缺的计2分； ⑤方案内容有3项（含）以上欠缺，或人员配备不足的计1分； ⑥未提供不计分。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库房情况</w:t>
            </w:r>
          </w:p>
        </w:tc>
        <w:tc>
          <w:tcPr>
            <w:tcW w:type="dxa" w:w="2492"/>
          </w:tcPr>
          <w:p>
            <w:pPr>
              <w:pStyle w:val="null3"/>
            </w:pPr>
            <w:r>
              <w:rPr>
                <w:rFonts w:ascii="仿宋_GB2312" w:hAnsi="仿宋_GB2312" w:cs="仿宋_GB2312" w:eastAsia="仿宋_GB2312"/>
              </w:rPr>
              <w:t>提供详细的印刷设备清单及库房环境情况，并提供相关证明材料。 ①投标人提供的设备设施的种类、数量等满足项目需求，库房环境整洁，适宜图书储存，且证明资料齐全的计4分； ②所提供的设备品种、数量有欠缺，库房环境混乱或证明资料不足的计2分； ③所提供的设备与项目实际使用需求不匹配，库房不能满足项目实施的，或未提供资料的，本项内容不计分。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库房情况.docx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对供应商的运输车辆（自有车辆：提供机动车行驶提供证扫描件（所有人应为投标单位）及行驶证车辆照片；租赁车辆：提供机动车行驶证扫描件（及行驶证车辆照片）和租赁合同扫描件；）及配送人员安排（包括但不限于岗位设置、岗位职责，相关证书、工作经验等）。 ①提供的车辆情况及人员安排满足项目需求，资料齐全的计4分； ②提供的车辆情况及人员安排有欠缺，或资料不完整的计2分； ③不能满足项目实施的，或未提供资料的，此项不计分。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运输能力.docx</w:t>
            </w:r>
          </w:p>
        </w:tc>
      </w:tr>
      <w:tr>
        <w:tc>
          <w:tcPr>
            <w:tcW w:type="dxa" w:w="831"/>
            <w:vMerge/>
          </w:tcPr>
          <w:p/>
        </w:tc>
        <w:tc>
          <w:tcPr>
            <w:tcW w:type="dxa" w:w="1661"/>
          </w:tcPr>
          <w:p>
            <w:pPr>
              <w:pStyle w:val="null3"/>
            </w:pPr>
            <w:r>
              <w:rPr>
                <w:rFonts w:ascii="仿宋_GB2312" w:hAnsi="仿宋_GB2312" w:cs="仿宋_GB2312" w:eastAsia="仿宋_GB2312"/>
              </w:rPr>
              <w:t>印刷原材料及来源渠道证明</w:t>
            </w:r>
          </w:p>
        </w:tc>
        <w:tc>
          <w:tcPr>
            <w:tcW w:type="dxa" w:w="2492"/>
          </w:tcPr>
          <w:p>
            <w:pPr>
              <w:pStyle w:val="null3"/>
            </w:pPr>
            <w:r>
              <w:rPr>
                <w:rFonts w:ascii="仿宋_GB2312" w:hAnsi="仿宋_GB2312" w:cs="仿宋_GB2312" w:eastAsia="仿宋_GB2312"/>
              </w:rPr>
              <w:t>提供印刷原材料情况及来源渠道证明资料（包括但不限于材料制造商授权、销售协议、代理协议等）。 ①所用原材料满足本项目要求，来源渠道证明资料详细齐全的计5分； ②原材料选材存在瑕疵，或渠道资料不详细的计3分； ③原材料选材存在重大缺陷或来源渠道资料有欠缺的计1分； ④未提供原材料情况或未提供来源渠道证明资料的，或提供内容不能满足项目需求的，此项不计分。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印刷原材料及来源渠道证明.docx</w:t>
            </w:r>
          </w:p>
        </w:tc>
      </w:tr>
      <w:tr>
        <w:tc>
          <w:tcPr>
            <w:tcW w:type="dxa" w:w="831"/>
            <w:vMerge/>
          </w:tcPr>
          <w:p/>
        </w:tc>
        <w:tc>
          <w:tcPr>
            <w:tcW w:type="dxa" w:w="1661"/>
          </w:tcPr>
          <w:p>
            <w:pPr>
              <w:pStyle w:val="null3"/>
            </w:pPr>
            <w:r>
              <w:rPr>
                <w:rFonts w:ascii="仿宋_GB2312" w:hAnsi="仿宋_GB2312" w:cs="仿宋_GB2312" w:eastAsia="仿宋_GB2312"/>
              </w:rPr>
              <w:t>残次品调换承诺</w:t>
            </w:r>
          </w:p>
        </w:tc>
        <w:tc>
          <w:tcPr>
            <w:tcW w:type="dxa" w:w="2492"/>
          </w:tcPr>
          <w:p>
            <w:pPr>
              <w:pStyle w:val="null3"/>
            </w:pPr>
            <w:r>
              <w:rPr>
                <w:rFonts w:ascii="仿宋_GB2312" w:hAnsi="仿宋_GB2312" w:cs="仿宋_GB2312" w:eastAsia="仿宋_GB2312"/>
              </w:rPr>
              <w:t>在验收、残损品调换等方面提供明确的服务承诺及杜绝措施。 ①承诺内容详细全面，措施具体可行的计4分； ②只有简单承诺或杜绝措施只有概述无具体实施办法的计2分； ③提供内容有缺项的，或提供内容不能满足项目需求的，计1分；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残次品调换承诺.docx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针对本项目提供服务保证承诺，包括但不限于服务质量承诺、服务质量保证措施。 ①服务承诺全面具体、可操作性强、细节描述详细的，计4分； ②内容总体简单，只有概述，无细节描述的，计2分； ③内容有缺项或无实质性内容的，计1分；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针对本项目提供具体可行的售后服务方案，在项目实施过程中及后续的工作程序中与采购人积极的配合程度，具有突发特殊情况应急保障预案，在印刷、配送出现问题后具有具体可行的补救措施。 ①方案内容详细具体，应急事件及预案措施紧扣项目实际，补救措施具体可行的计4分； ②方案内容完整，但描述不够详细或措施无针对性的计2分； ③方案内容有缺项或无重点、只有粗略描述、无实质性内容的，计1分；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①内容明确合理、科学可行性且完全有利于采购项目顺利实施的计4分； ②内容有部分阐述不明确、不能完全有利于项目实施的计2分； ③内容中有较多缺失或内容欠缺针对性的计1分； ④未提供不计分。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供应商提供自2022年1月至今类似项目业绩，每提供一份业绩合同（以合同或中标通知书作为证明文件）计1分，满分为5分。注：以合同签订时间为准。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价格分：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10%）×100； 2.图书单册定价价格分：供应商对单册图书按照字数进行报价，单册价格合计金额最低的投标报价为评标基准价，其价格分为满分。其他投标人的价格分统一按照下列公式计算：投标报价得分=（评标基准价/单册价格合计金额）×价格权值（即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图书单册定价报价表.docx</w:t>
            </w:r>
          </w:p>
          <w:p>
            <w:pPr>
              <w:pStyle w:val="null3"/>
            </w:pPr>
            <w:r>
              <w:rPr>
                <w:rFonts w:ascii="仿宋_GB2312" w:hAnsi="仿宋_GB2312" w:cs="仿宋_GB2312" w:eastAsia="仿宋_GB2312"/>
              </w:rPr>
              <w:t>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详见附件：图书单册定价报价表.docx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详见附件：实施进度计划.docx</w:t>
      </w:r>
    </w:p>
    <w:p>
      <w:pPr>
        <w:pStyle w:val="null3"/>
        <w:ind w:firstLine="960"/>
      </w:pPr>
      <w:r>
        <w:rPr>
          <w:rFonts w:ascii="仿宋_GB2312" w:hAnsi="仿宋_GB2312" w:cs="仿宋_GB2312" w:eastAsia="仿宋_GB2312"/>
        </w:rPr>
        <w:t>详见附件：内部管理方案及制度.docx</w:t>
      </w:r>
    </w:p>
    <w:p>
      <w:pPr>
        <w:pStyle w:val="null3"/>
        <w:ind w:firstLine="960"/>
      </w:pPr>
      <w:r>
        <w:rPr>
          <w:rFonts w:ascii="仿宋_GB2312" w:hAnsi="仿宋_GB2312" w:cs="仿宋_GB2312" w:eastAsia="仿宋_GB2312"/>
        </w:rPr>
        <w:t>详见附件：重点难点分析及解决措施.docx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详见附件：图书印刷评价.docx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详见附件：库房情况.docx</w:t>
      </w:r>
    </w:p>
    <w:p>
      <w:pPr>
        <w:pStyle w:val="null3"/>
        <w:ind w:firstLine="960"/>
      </w:pPr>
      <w:r>
        <w:rPr>
          <w:rFonts w:ascii="仿宋_GB2312" w:hAnsi="仿宋_GB2312" w:cs="仿宋_GB2312" w:eastAsia="仿宋_GB2312"/>
        </w:rPr>
        <w:t>详见附件：运输能力.docx</w:t>
      </w:r>
    </w:p>
    <w:p>
      <w:pPr>
        <w:pStyle w:val="null3"/>
        <w:ind w:firstLine="960"/>
      </w:pPr>
      <w:r>
        <w:rPr>
          <w:rFonts w:ascii="仿宋_GB2312" w:hAnsi="仿宋_GB2312" w:cs="仿宋_GB2312" w:eastAsia="仿宋_GB2312"/>
        </w:rPr>
        <w:t>详见附件：印刷原材料及来源渠道证明.docx</w:t>
      </w:r>
    </w:p>
    <w:p>
      <w:pPr>
        <w:pStyle w:val="null3"/>
        <w:ind w:firstLine="960"/>
      </w:pPr>
      <w:r>
        <w:rPr>
          <w:rFonts w:ascii="仿宋_GB2312" w:hAnsi="仿宋_GB2312" w:cs="仿宋_GB2312" w:eastAsia="仿宋_GB2312"/>
        </w:rPr>
        <w:t>详见附件：残次品调换承诺.docx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