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版本号：ZX2025-08-1120250928001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2025年自然资源专项项目经费监管核查项目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ZX2025-08-11</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2025年自然资源专项项目经费监管核查项目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ZX2025-08-11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2025年自然资源专项项目经费监管核查项目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2025年自然资源专项项目经费监管核查项目。具体采购需求详见磋商文件第三章。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采购包1（2025年自然资源专项项目经费监管核查项目）：属于专门面向中小企业采购。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029-84333049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采购包1保证金金额：10,811.00元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根据磋商文件、成交供应商响应文件和合同文本执行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2025年自然资源专项项目经费监管核查项目。具体采购需求详见磋商文件第三章技术参数与性能指标。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827,000.00</w:t>
      </w:r>
    </w:p>
    <w:p>
      <w:pPr>
        <w:pStyle w:val="null3"/>
      </w:pPr>
      <w:r>
        <w:rPr>
          <w:rFonts w:ascii="仿宋_GB2312" w:hAnsi="仿宋_GB2312" w:cs="仿宋_GB2312" w:eastAsia="仿宋_GB2312"/>
        </w:rPr>
        <w:t>采购包最高限价（元）: 827,000.00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自然资源专项项目经费监管核查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标的名称：自然资源专项项目经费监管核查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1.分析评估工作范围与内容</w:t>
            </w:r>
          </w:p>
          <w:p>
            <w:pPr>
              <w:pStyle w:val="null3"/>
            </w:pPr>
            <w:r>
              <w:rPr>
                <w:rFonts w:ascii="仿宋_GB2312" w:hAnsi="仿宋_GB2312" w:cs="仿宋_GB2312" w:eastAsia="仿宋_GB2312"/>
              </w:rPr>
              <w:t>计划对2024年度中央和省级转移支付项目、2025年度中央和省级转移支付项目和省本级超过1000万元的项目（约23个）进行全过程分析评估。主要针对资金拨付和使用情况、项目执行情况、资金使用成效以及合规性等方面进行分析评估。定期形成分析材料，指出专项项目执行过程中的问题，督促相关单位及时纠偏修正，推动专项项目执行管理的规范化和高效化。</w:t>
            </w:r>
          </w:p>
          <w:p>
            <w:pPr>
              <w:pStyle w:val="null3"/>
            </w:pPr>
            <w:r>
              <w:rPr>
                <w:rFonts w:ascii="仿宋_GB2312" w:hAnsi="仿宋_GB2312" w:cs="仿宋_GB2312" w:eastAsia="仿宋_GB2312"/>
              </w:rPr>
              <w:t>（1）资金使用情况的分析评估。详细梳理专项资金的拨付流程和使用情况。包括资金是否按时足额拨付到项目单位，资金使用是否符合预算和计划，是否存在挪用、挤占、滞留等现象。梳理资金拨付的凭证、银行对账单、财务账簿等资料，确保资金流向的合规透明。</w:t>
            </w:r>
          </w:p>
          <w:p>
            <w:pPr>
              <w:pStyle w:val="null3"/>
            </w:pPr>
            <w:r>
              <w:rPr>
                <w:rFonts w:ascii="仿宋_GB2312" w:hAnsi="仿宋_GB2312" w:cs="仿宋_GB2312" w:eastAsia="仿宋_GB2312"/>
              </w:rPr>
              <w:t>（2）项目执行情况的分析评估。重点关注项目的执行进度和质量。包括项目是否按计划实施，是否存在拖延、变更或中止的情况；项目执行过程中是否存在质量问题或安全隐患。服务人员将通过现场评估、项目进度报告、工程质量检测报告等手段，全面评估项目的执行情况。</w:t>
            </w:r>
          </w:p>
          <w:p>
            <w:pPr>
              <w:pStyle w:val="null3"/>
            </w:pPr>
            <w:r>
              <w:rPr>
                <w:rFonts w:ascii="仿宋_GB2312" w:hAnsi="仿宋_GB2312" w:cs="仿宋_GB2312" w:eastAsia="仿宋_GB2312"/>
              </w:rPr>
              <w:t>（3）使用成效的分析评估。评估专项资金的使用效益绩效情况，包括数量、质量、时效、经济效益、社会效益和生态效益指标。服务人员将通过数据分析、成本效益分析、绩效评估等方法，衡量资金投入与产出之间的关系，评估资金使用的效率和效果。同时，还将关注项目是否达到了预期的目标和效果。</w:t>
            </w:r>
          </w:p>
          <w:p>
            <w:pPr>
              <w:pStyle w:val="null3"/>
            </w:pPr>
            <w:r>
              <w:rPr>
                <w:rFonts w:ascii="仿宋_GB2312" w:hAnsi="仿宋_GB2312" w:cs="仿宋_GB2312" w:eastAsia="仿宋_GB2312"/>
              </w:rPr>
              <w:t>（4）合规性的分析评估。对专项资金的使用和管理进行全面的合规性分析评估。包括资金使用是否符合相关法律法规和政策文件，是否存在违规操作或违法行为。服务人员将评估项目单位的内部控制制度、财务管理流程、合同管理、采购程序等。</w:t>
            </w:r>
          </w:p>
          <w:p>
            <w:pPr>
              <w:pStyle w:val="null3"/>
            </w:pPr>
            <w:r>
              <w:rPr>
                <w:rFonts w:ascii="仿宋_GB2312" w:hAnsi="仿宋_GB2312" w:cs="仿宋_GB2312" w:eastAsia="仿宋_GB2312"/>
              </w:rPr>
              <w:t>（5）风险防控及整改落实情况。评估项目是否存在潜在风险，风险防控措施是否到位。评估前期发现的问题是否得到有效整改，整改措施是否落实到位。</w:t>
            </w:r>
          </w:p>
          <w:p>
            <w:pPr>
              <w:pStyle w:val="null3"/>
            </w:pPr>
            <w:r>
              <w:rPr>
                <w:rFonts w:ascii="仿宋_GB2312" w:hAnsi="仿宋_GB2312" w:cs="仿宋_GB2312" w:eastAsia="仿宋_GB2312"/>
              </w:rPr>
              <w:t>2.工作流程要求</w:t>
            </w:r>
          </w:p>
          <w:p>
            <w:pPr>
              <w:pStyle w:val="null3"/>
            </w:pPr>
            <w:r>
              <w:rPr>
                <w:rFonts w:ascii="仿宋_GB2312" w:hAnsi="仿宋_GB2312" w:cs="仿宋_GB2312" w:eastAsia="仿宋_GB2312"/>
              </w:rPr>
              <w:t>（1）应制定详细的分析评估方案，明确方法（如资料梳理、现场评估、访谈等），报采购人审核后实施。</w:t>
            </w:r>
          </w:p>
          <w:p>
            <w:pPr>
              <w:pStyle w:val="null3"/>
            </w:pPr>
            <w:r>
              <w:rPr>
                <w:rFonts w:ascii="仿宋_GB2312" w:hAnsi="仿宋_GB2312" w:cs="仿宋_GB2312" w:eastAsia="仿宋_GB2312"/>
              </w:rPr>
              <w:t>（2）分阶段提交阶段性报告，计划每季度进行一次评估工作，并按季度出具分析评估情况总结报告。</w:t>
            </w:r>
          </w:p>
          <w:p>
            <w:pPr>
              <w:pStyle w:val="null3"/>
            </w:pPr>
            <w:r>
              <w:rPr>
                <w:rFonts w:ascii="仿宋_GB2312" w:hAnsi="仿宋_GB2312" w:cs="仿宋_GB2312" w:eastAsia="仿宋_GB2312"/>
              </w:rPr>
              <w:t>3.成果交付要求</w:t>
            </w:r>
          </w:p>
          <w:p>
            <w:pPr>
              <w:pStyle w:val="null3"/>
            </w:pPr>
            <w:r>
              <w:rPr>
                <w:rFonts w:ascii="仿宋_GB2312" w:hAnsi="仿宋_GB2312" w:cs="仿宋_GB2312" w:eastAsia="仿宋_GB2312"/>
              </w:rPr>
              <w:t>（1）报告需内容完整、数据准确、结论清晰。</w:t>
            </w:r>
          </w:p>
          <w:p>
            <w:pPr>
              <w:pStyle w:val="null3"/>
            </w:pPr>
            <w:r>
              <w:rPr>
                <w:rFonts w:ascii="仿宋_GB2312" w:hAnsi="仿宋_GB2312" w:cs="仿宋_GB2312" w:eastAsia="仿宋_GB2312"/>
              </w:rPr>
              <w:t>（2）报告应附佐证材料（如凭证复印件、访谈记录等），并按照采购方需求提供纸质版（一式10份）；</w:t>
            </w:r>
          </w:p>
          <w:p>
            <w:pPr>
              <w:pStyle w:val="null3"/>
            </w:pPr>
            <w:r>
              <w:rPr>
                <w:rFonts w:ascii="仿宋_GB2312" w:hAnsi="仿宋_GB2312" w:cs="仿宋_GB2312" w:eastAsia="仿宋_GB2312"/>
              </w:rPr>
              <w:t>4.质量保证措施</w:t>
            </w:r>
          </w:p>
          <w:p>
            <w:pPr>
              <w:pStyle w:val="null3"/>
            </w:pPr>
            <w:r>
              <w:rPr>
                <w:rFonts w:ascii="仿宋_GB2312" w:hAnsi="仿宋_GB2312" w:cs="仿宋_GB2312" w:eastAsia="仿宋_GB2312"/>
              </w:rPr>
              <w:t>（1）供应商需建立内部三级复核机制（项目组复核、部门复核、机构终审），确保报告质量。</w:t>
            </w:r>
          </w:p>
          <w:p>
            <w:pPr>
              <w:pStyle w:val="null3"/>
            </w:pPr>
            <w:r>
              <w:rPr>
                <w:rFonts w:ascii="仿宋_GB2312" w:hAnsi="仿宋_GB2312" w:cs="仿宋_GB2312" w:eastAsia="仿宋_GB2312"/>
              </w:rPr>
              <w:t>（2）采购人可对项目实施过程进行抽查，供应商需配合提供工作底稿备查。</w:t>
            </w:r>
          </w:p>
          <w:p>
            <w:pPr>
              <w:pStyle w:val="null3"/>
            </w:pPr>
            <w:r>
              <w:rPr>
                <w:rFonts w:ascii="仿宋_GB2312" w:hAnsi="仿宋_GB2312" w:cs="仿宋_GB2312" w:eastAsia="仿宋_GB2312"/>
              </w:rPr>
              <w:t>二、其他要求</w:t>
            </w:r>
          </w:p>
          <w:p>
            <w:pPr>
              <w:pStyle w:val="null3"/>
            </w:pPr>
            <w:r>
              <w:rPr>
                <w:rFonts w:ascii="仿宋_GB2312" w:hAnsi="仿宋_GB2312" w:cs="仿宋_GB2312" w:eastAsia="仿宋_GB2312"/>
              </w:rPr>
              <w:t>1.报价</w:t>
            </w:r>
          </w:p>
          <w:p>
            <w:pPr>
              <w:pStyle w:val="null3"/>
            </w:pPr>
            <w:r>
              <w:rPr>
                <w:rFonts w:ascii="仿宋_GB2312" w:hAnsi="仿宋_GB2312" w:cs="仿宋_GB2312" w:eastAsia="仿宋_GB2312"/>
              </w:rPr>
              <w:t>（1）报价应包含人工费、差旅费、资料费、税费等全部费用，不得出现隐性收费。</w:t>
            </w:r>
          </w:p>
          <w:p>
            <w:pPr>
              <w:pStyle w:val="null3"/>
            </w:pPr>
            <w:r>
              <w:rPr>
                <w:rFonts w:ascii="仿宋_GB2312" w:hAnsi="仿宋_GB2312" w:cs="仿宋_GB2312" w:eastAsia="仿宋_GB2312"/>
              </w:rPr>
              <w:t>（2）采用固定总价包干计费方式，需明确费用构成及支付条件（如分期支付比例）；</w:t>
            </w:r>
          </w:p>
          <w:p>
            <w:pPr>
              <w:pStyle w:val="null3"/>
            </w:pPr>
            <w:r>
              <w:rPr>
                <w:rFonts w:ascii="仿宋_GB2312" w:hAnsi="仿宋_GB2312" w:cs="仿宋_GB2312" w:eastAsia="仿宋_GB2312"/>
              </w:rPr>
              <w:t>2.保密与合规要求</w:t>
            </w:r>
          </w:p>
          <w:p>
            <w:pPr>
              <w:pStyle w:val="null3"/>
            </w:pPr>
            <w:r>
              <w:rPr>
                <w:rFonts w:ascii="仿宋_GB2312" w:hAnsi="仿宋_GB2312" w:cs="仿宋_GB2312" w:eastAsia="仿宋_GB2312"/>
              </w:rPr>
              <w:t>（1）供应商须签订保密协议，承诺对项目实施过程中获取的数据、文件等信息严格保密。</w:t>
            </w:r>
          </w:p>
          <w:p>
            <w:pPr>
              <w:pStyle w:val="null3"/>
            </w:pPr>
            <w:r>
              <w:rPr>
                <w:rFonts w:ascii="仿宋_GB2312" w:hAnsi="仿宋_GB2312" w:cs="仿宋_GB2312" w:eastAsia="仿宋_GB2312"/>
              </w:rPr>
              <w:t>（2）分析评估工作需符合国家相关准则、财政专项资金管理办法及相关法律法规；</w:t>
            </w:r>
          </w:p>
          <w:p>
            <w:pPr>
              <w:pStyle w:val="null3"/>
            </w:pPr>
            <w:r>
              <w:rPr>
                <w:rFonts w:ascii="仿宋_GB2312" w:hAnsi="仿宋_GB2312" w:cs="仿宋_GB2312" w:eastAsia="仿宋_GB2312"/>
              </w:rPr>
              <w:t>3.售后服务</w:t>
            </w:r>
          </w:p>
          <w:p>
            <w:pPr>
              <w:pStyle w:val="null3"/>
            </w:pPr>
            <w:r>
              <w:rPr>
                <w:rFonts w:ascii="仿宋_GB2312" w:hAnsi="仿宋_GB2312" w:cs="仿宋_GB2312" w:eastAsia="仿宋_GB2312"/>
              </w:rPr>
              <w:t>提供成果报告后续解释、补充说明等服务，配合采购单位完成整改或验收工作。</w:t>
            </w:r>
          </w:p>
          <w:p>
            <w:pPr>
              <w:pStyle w:val="null3"/>
            </w:pPr>
            <w:r>
              <w:rPr>
                <w:rFonts w:ascii="仿宋_GB2312" w:hAnsi="仿宋_GB2312" w:cs="仿宋_GB2312" w:eastAsia="仿宋_GB2312"/>
              </w:rPr>
              <w:t>4.其他要求</w:t>
            </w:r>
          </w:p>
          <w:p>
            <w:pPr>
              <w:pStyle w:val="null3"/>
            </w:pPr>
            <w:r>
              <w:rPr>
                <w:rFonts w:ascii="仿宋_GB2312" w:hAnsi="仿宋_GB2312" w:cs="仿宋_GB2312" w:eastAsia="仿宋_GB2312"/>
              </w:rPr>
              <w:t>供应商需响应采购人对评估工作的临时合理需求（如配合上级检查、补充咨询、督导等）。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合同签订后，供应商应在10个工作日内启动专项咨询工作，并在12个月内完成全部专项咨询任务并提交正式报告。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陕西省自然资源厅指定地点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（1）质量标准，符合国家行业相关标准。 （2）验收：根据磋商文件、成交供应商响应文件和合同文本执行。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所有服务提供完毕且经采购人验收合格后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响应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总报价未超过磋商文件中规定的预算金额或者最高限价的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满足本磋商文件中3.3商务要求中服务期限、服务地点、支付约定要求的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实施方案，包括：①需求分析，对项目的相关政策的理解及总体分析；②资金拨付和使用情况分析评估方案；③项目执行情况分析评估方案；④资金使用成效分析评估方案；⑤资金合规性分析评估方案；⑥风险防控及整改落实情况评估方案。 二、评审标准 1、完整性：方案必须全面，对评审内容中的各项要求有详细描述； 2、可实施性：切合本项目实际情况，提出步骤清晰、明确可行； 3、针对性：方案能够紧扣项目实际情况，贴合服务内容特征。 三、赋分标准 ①需求分析：每完全满足一个评审标准得1分，满分3分； ②资金拨付和使用情况分析评估方案：每完全满足一个评审标准得1分，满分3分； ③项目执行情况分析评估方案：每完全满足一个评审标准得1分，满分3分； ④资金使用成效分析评估方案：每完全满足一个评审标准得1分，满分3分； ⑤资金合规性分析评估方案：每完全满足一个评审标准得1分，满分3分； ⑥风险防控及整改落实情况评估方案：每完全满足一个评审标准得1分，满分3分。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p>
            <w:pPr>
              <w:pStyle w:val="null3"/>
            </w:pPr>
            <w:r>
              <w:rPr>
                <w:rFonts w:ascii="仿宋_GB2312" w:hAnsi="仿宋_GB2312" w:cs="仿宋_GB2312" w:eastAsia="仿宋_GB2312"/>
              </w:rPr>
              <w:t>5服务响应偏离表.docx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一、评审内容 供应商针对服务内容及要求梳理本项目工作流程及各环节工作规范，包括：①资料收集；②评估方法（如资料审查、现场核查、访谈等）；③数据分析；④报告编制。 二、评审标准 1、完整性：方案必须全面，对评审内容中的各项要求有详细描述； 2、可实施性：切合本项目实际情况，提出步骤清晰、明确可行； 3、针对性：方案能够紧扣项目实际情况，贴合服务内容特征。 三、赋分标准 ①资料收集：每完全满足一个评审标准得1分，满分3分； ②评估方法：每完全满足一个评审标准得1分，满分3分； ③数据分析：每完全满足一个评审标准得1分，满分3分； ④报告编制：每完全满足一个评审标准得1分，满分3分。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7工作流程.docx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一、评审内容 供应商针对本项目提供工作制度，包括：①保密制度；②资料档案管理制度。 二、评审标准 1、完整性：制度必须全面，对评审内容中的各项要求有详细描述； 2、可实施性：切合本项目实际情况，提出步骤清晰、明确可行； 3、针对性：制度能够紧扣项目实际情况，贴合服务内容特征。 三、赋分标准 ①保密制度：每完全满足一个评审标准得1分，满分3分； ②资料档案管理制度：每完全满足一个评审标准得1分，满分3分。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8工作制度.docx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供应商针对服务内容及要求提供质量保障方案，包括：①内部三级复核机制；②实施过程中的重难点分析及解决方案；③应急预案（数据丢失、人员变动等）。 二、评审标准 1、完整性：方案必须全面，对评审内容中的各项要求有详细描述； 2、可实施性：切合本项目实际情况，提出步骤清晰、明确可行； 3、针对性：方案能够紧扣项目实际情况，贴合服务内容特征。 三、赋分标准 ①内部三级复核机制：每完全满足一个评审标准得1分，满分3分； ②重难点分析及解决方案：每完全满足一个评审标准得1分，满分3分； ③应急预案：每完全满足一个评审标准得1分，满分3分。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9质量保障.docx</w:t>
            </w:r>
          </w:p>
        </w:tc>
      </w:tr>
      <w:tr>
        <w:tc>
          <w:tcPr>
            <w:tcW w:type="dxa" w:w="831"/>
            <w:vMerge/>
          </w:tcPr>
          <w:p/>
        </w:tc>
        <w:tc>
          <w:tcPr>
            <w:tcW w:type="dxa" w:w="1661"/>
          </w:tcPr>
          <w:p>
            <w:pPr>
              <w:pStyle w:val="null3"/>
            </w:pPr>
            <w:r>
              <w:rPr>
                <w:rFonts w:ascii="仿宋_GB2312" w:hAnsi="仿宋_GB2312" w:cs="仿宋_GB2312" w:eastAsia="仿宋_GB2312"/>
              </w:rPr>
              <w:t>进度管理方案</w:t>
            </w:r>
          </w:p>
        </w:tc>
        <w:tc>
          <w:tcPr>
            <w:tcW w:type="dxa" w:w="2492"/>
          </w:tcPr>
          <w:p>
            <w:pPr>
              <w:pStyle w:val="null3"/>
            </w:pPr>
            <w:r>
              <w:rPr>
                <w:rFonts w:ascii="仿宋_GB2312" w:hAnsi="仿宋_GB2312" w:cs="仿宋_GB2312" w:eastAsia="仿宋_GB2312"/>
              </w:rPr>
              <w:t>一、评审内容 供应商针对本项目提供进度管理方案，包括：①各阶段工作进度安排；②进度保证措施。 二、评审标准 1、完整性：方案必须全面，对评审内容中的各项要求有详细描述； 2、可实施性：切合本项目实际情况，提出步骤清晰、明确可行； 3、针对性：方案能够紧扣项目实际情况，贴合服务内容特征。 三、赋分标准 ①各阶段工作进度安排：每完全满足一个评审标准得1分，满分3分； ②进度保证措施：每完全满足一个评审标准得1分，满分3分。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10进度管理方案.docx</w:t>
            </w:r>
          </w:p>
        </w:tc>
      </w:tr>
      <w:tr>
        <w:tc>
          <w:tcPr>
            <w:tcW w:type="dxa" w:w="831"/>
            <w:vMerge/>
          </w:tcPr>
          <w:p/>
        </w:tc>
        <w:tc>
          <w:tcPr>
            <w:tcW w:type="dxa" w:w="1661"/>
          </w:tcPr>
          <w:p>
            <w:pPr>
              <w:pStyle w:val="null3"/>
            </w:pPr>
            <w:r>
              <w:rPr>
                <w:rFonts w:ascii="仿宋_GB2312" w:hAnsi="仿宋_GB2312" w:cs="仿宋_GB2312" w:eastAsia="仿宋_GB2312"/>
              </w:rPr>
              <w:t>成果交付方案</w:t>
            </w:r>
          </w:p>
        </w:tc>
        <w:tc>
          <w:tcPr>
            <w:tcW w:type="dxa" w:w="2492"/>
          </w:tcPr>
          <w:p>
            <w:pPr>
              <w:pStyle w:val="null3"/>
            </w:pPr>
            <w:r>
              <w:rPr>
                <w:rFonts w:ascii="仿宋_GB2312" w:hAnsi="仿宋_GB2312" w:cs="仿宋_GB2312" w:eastAsia="仿宋_GB2312"/>
              </w:rPr>
              <w:t>一、评审内容 供应商针对本项目提供成果交付方案，包括：①成果交付内容及规范性保证方案；②未达到要求的及时改进方案。 二、评审标准 1、完整性：制度必须全面，对评审内容中的各项要求有详细描述； 2、可实施性：切合本项目实际情况，提出步骤清晰、明确可行； 3、针对性：制度能够紧扣项目实际情况，贴合服务内容特征。 三、赋分标准 ①成果交付内容及规范性保证方案：每完全满足一个评审标准得1分，满分3分； ②未达到要求的及时改进方案：每完全满足一个评审标准得1分，满分3分。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11成果交付方案.docx</w:t>
            </w:r>
          </w:p>
        </w:tc>
      </w:tr>
      <w:tr>
        <w:tc>
          <w:tcPr>
            <w:tcW w:type="dxa" w:w="831"/>
            <w:vMerge/>
          </w:tcPr>
          <w:p/>
        </w:tc>
        <w:tc>
          <w:tcPr>
            <w:tcW w:type="dxa" w:w="1661"/>
          </w:tcPr>
          <w:p>
            <w:pPr>
              <w:pStyle w:val="null3"/>
            </w:pPr>
            <w:r>
              <w:rPr>
                <w:rFonts w:ascii="仿宋_GB2312" w:hAnsi="仿宋_GB2312" w:cs="仿宋_GB2312" w:eastAsia="仿宋_GB2312"/>
              </w:rPr>
              <w:t>服务团队方案</w:t>
            </w:r>
          </w:p>
        </w:tc>
        <w:tc>
          <w:tcPr>
            <w:tcW w:type="dxa" w:w="2492"/>
          </w:tcPr>
          <w:p>
            <w:pPr>
              <w:pStyle w:val="null3"/>
            </w:pPr>
            <w:r>
              <w:rPr>
                <w:rFonts w:ascii="仿宋_GB2312" w:hAnsi="仿宋_GB2312" w:cs="仿宋_GB2312" w:eastAsia="仿宋_GB2312"/>
              </w:rPr>
              <w:t>一、评审内容 供应商针对本项目提供服务团队方案，包括：①服务团队清单及岗位职责划分；②人员管理制度。 二、评审标准 1、完整性：内容全面，对评审内容中的各项要求有详细描述； 2、可实施性：切合本项目实际情况，提出步骤清晰、明确可行； 3、针对性：能够紧扣项目实际情况，贴合项目内容特征。 三、赋分标准 ①服务团队清单及岗位职责划分：每完全满足一个评审标准得1分，满分3分； ②人员管理制度：每完全满足一个评审标准得1分，满分3分。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12服务团队方案.docx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本项目拟派项目负责人：提供有效的注册会计师证书且在本单位注册，满足此要求计2分。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13拟派项目负责人.docx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项目团队成员（除负责人）：应经验丰富，提供人员履历表，并提供人员资质、工作经验等证明材料。 团队资质、经验满足项目需求，证明材料完整计3分； 团队资质、经验满足项目需求，但证明材料不完整计2分； 未提供或不满足项目需求均不得分。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14团队成员.docx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供应商针对本项目提供服务方案，包括：①配合工作方案（如配合上级检查、补充核查等）；②后续售后服务方案。 二、评审标准 1、完整性：内容全面，对评审内容中的各项要求有详细描述； 2、可实施性：切合本项目实际情况，提出步骤清晰、明确可行； 3、针对性：能够紧扣项目实际情况，贴合项目内容特征。 三、赋分标准 ①配合工作方案：每完全满足一个评审标准得1分，满分3分； ②后续售后服务方案：每完全满足一个评审标准得1分，满分3分。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供应商针对本项目提供服务承诺，包括：①人员到位情况；②服务响应时效性及规范性。 二、评审标准 1、完整性：内容全面，对评审内容中的各项要求有详细描述； 2、可实施性：切合本项目实际情况，提出步骤清晰、明确可行； 3、针对性：能够紧扣项目实际情况，贴合项目内容特征。 三、赋分标准 ①人员到位情况：每完全满足一个评审标准得1分，满分3分； ②服务响应时效性及规范性：每完全满足一个评审标准得1分，满分3分。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供应商应提供2022年1月1日至今类似项目合同（以合同签订日期为准），每提供1个得1分，最高得5分。 备注：响应文件中提供合同扫描件并加盖公章。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详见附件：7工作流程.docx</w:t>
      </w:r>
    </w:p>
    <w:p>
      <w:pPr>
        <w:pStyle w:val="null3"/>
        <w:ind w:firstLine="960"/>
      </w:pPr>
      <w:r>
        <w:rPr>
          <w:rFonts w:ascii="仿宋_GB2312" w:hAnsi="仿宋_GB2312" w:cs="仿宋_GB2312" w:eastAsia="仿宋_GB2312"/>
        </w:rPr>
        <w:t>详见附件：8工作制度.docx</w:t>
      </w:r>
    </w:p>
    <w:p>
      <w:pPr>
        <w:pStyle w:val="null3"/>
        <w:ind w:firstLine="960"/>
      </w:pPr>
      <w:r>
        <w:rPr>
          <w:rFonts w:ascii="仿宋_GB2312" w:hAnsi="仿宋_GB2312" w:cs="仿宋_GB2312" w:eastAsia="仿宋_GB2312"/>
        </w:rPr>
        <w:t>详见附件：9质量保障.docx</w:t>
      </w:r>
    </w:p>
    <w:p>
      <w:pPr>
        <w:pStyle w:val="null3"/>
        <w:ind w:firstLine="960"/>
      </w:pPr>
      <w:r>
        <w:rPr>
          <w:rFonts w:ascii="仿宋_GB2312" w:hAnsi="仿宋_GB2312" w:cs="仿宋_GB2312" w:eastAsia="仿宋_GB2312"/>
        </w:rPr>
        <w:t>详见附件：10进度管理方案.docx</w:t>
      </w:r>
    </w:p>
    <w:p>
      <w:pPr>
        <w:pStyle w:val="null3"/>
        <w:ind w:firstLine="960"/>
      </w:pPr>
      <w:r>
        <w:rPr>
          <w:rFonts w:ascii="仿宋_GB2312" w:hAnsi="仿宋_GB2312" w:cs="仿宋_GB2312" w:eastAsia="仿宋_GB2312"/>
        </w:rPr>
        <w:t>详见附件：11成果交付方案.docx</w:t>
      </w:r>
    </w:p>
    <w:p>
      <w:pPr>
        <w:pStyle w:val="null3"/>
        <w:ind w:firstLine="960"/>
      </w:pPr>
      <w:r>
        <w:rPr>
          <w:rFonts w:ascii="仿宋_GB2312" w:hAnsi="仿宋_GB2312" w:cs="仿宋_GB2312" w:eastAsia="仿宋_GB2312"/>
        </w:rPr>
        <w:t>详见附件：12服务团队方案.docx</w:t>
      </w:r>
    </w:p>
    <w:p>
      <w:pPr>
        <w:pStyle w:val="null3"/>
        <w:ind w:firstLine="960"/>
      </w:pPr>
      <w:r>
        <w:rPr>
          <w:rFonts w:ascii="仿宋_GB2312" w:hAnsi="仿宋_GB2312" w:cs="仿宋_GB2312" w:eastAsia="仿宋_GB2312"/>
        </w:rPr>
        <w:t>详见附件：13拟派项目负责人.docx</w:t>
      </w:r>
    </w:p>
    <w:p>
      <w:pPr>
        <w:pStyle w:val="null3"/>
        <w:ind w:firstLine="960"/>
      </w:pPr>
      <w:r>
        <w:rPr>
          <w:rFonts w:ascii="仿宋_GB2312" w:hAnsi="仿宋_GB2312" w:cs="仿宋_GB2312" w:eastAsia="仿宋_GB2312"/>
        </w:rPr>
        <w:t>详见附件：14团队成员.docx</w:t>
      </w:r>
    </w:p>
    <w:p>
      <w:pPr>
        <w:pStyle w:val="null3"/>
        <w:ind w:firstLine="960"/>
      </w:pPr>
      <w:r>
        <w:rPr>
          <w:rFonts w:ascii="仿宋_GB2312" w:hAnsi="仿宋_GB2312" w:cs="仿宋_GB2312" w:eastAsia="仿宋_GB2312"/>
        </w:rPr>
        <w:t>详见附件：15服务方案.docx</w:t>
      </w:r>
    </w:p>
    <w:p>
      <w:pPr>
        <w:pStyle w:val="null3"/>
        <w:ind w:firstLine="960"/>
      </w:pPr>
      <w:r>
        <w:rPr>
          <w:rFonts w:ascii="仿宋_GB2312" w:hAnsi="仿宋_GB2312" w:cs="仿宋_GB2312" w:eastAsia="仿宋_GB2312"/>
        </w:rPr>
        <w:t>详见附件：16服务承诺.docx</w:t>
      </w:r>
    </w:p>
    <w:p>
      <w:pPr>
        <w:pStyle w:val="null3"/>
        <w:ind w:firstLine="960"/>
      </w:pPr>
      <w:r>
        <w:rPr>
          <w:rFonts w:ascii="仿宋_GB2312" w:hAnsi="仿宋_GB2312" w:cs="仿宋_GB2312" w:eastAsia="仿宋_GB2312"/>
        </w:rPr>
        <w:t>详见附件：17业绩.docx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