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版本号：RTZB-2025-208220250928001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2025年陕西省专业应急救援队伍服务项目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RTZB-2025-2082</w:t>
      </w:r>
      <w:r>
        <w:br/>
      </w:r>
      <w:r>
        <w:br/>
      </w:r>
      <w:r>
        <w:br/>
      </w:r>
    </w:p>
    <w:p>
      <w:pPr>
        <w:pStyle w:val="null3"/>
        <w:jc w:val="center"/>
        <w:outlineLvl w:val="2"/>
      </w:pPr>
      <w:r>
        <w:rPr>
          <w:rFonts w:ascii="仿宋_GB2312" w:hAnsi="仿宋_GB2312" w:cs="仿宋_GB2312" w:eastAsia="仿宋_GB2312"/>
          <w:sz w:val="28"/>
          <w:b/>
        </w:rPr>
        <w:t>陕西省应急救援保障中心（陕西省航空应急救援护林中心）</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委托，拟对</w:t>
      </w:r>
      <w:r>
        <w:rPr>
          <w:rFonts w:ascii="仿宋_GB2312" w:hAnsi="仿宋_GB2312" w:cs="仿宋_GB2312" w:eastAsia="仿宋_GB2312"/>
        </w:rPr>
        <w:t>2025年陕西省专业应急救援队伍服务项目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2025年陕西省专业应急救援队伍服务项目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全灾种、大应急、大救援”需求，购买第三方专业应急救援队伍服务，队伍布防于西安市区周边交通便捷区域，通过准军事化管理和24小时值班备勤，在全省范围内执行各类专业应急救援任务。发挥突击攻坚、一击必中、一招制胜的“尖刀”作用，实现事故灾害发生后及时响应、迅速到达、专业施救、高效处置,提升我省突发公共事件应急救援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rFonts w:ascii="仿宋_GB2312" w:hAnsi="仿宋_GB2312" w:cs="仿宋_GB2312" w:eastAsia="仿宋_GB2312"/>
        </w:rPr>
        <w:t>2、联合体形式：不接受联合体投标，提供非联合体声明。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陕西省应急救援保障中心（陕西省航空应急救援护林中心）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长安区神舟六路858号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029-85898803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的标准收取代理服务费。中标人在领取中标通知书前，须一次性足额向采购代理机构交纳代理服务费。代理服务费以转账或现金形式缴纳，转账信息向中标人通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联系电话：029-88224132-8007</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全灾种、大应急、大救援”需求，购买第三方专业应急救援队伍服务，队伍布防于西安市区周边交通便捷区域，通过准军事化管理和24小时值班备勤，在全省范围内执行各类专业应急救援任务。发挥突击攻坚、一击必中、一招制胜的“尖刀”作用，实现事故灾害发生后及时响应、迅速到达、专业施救、高效处置,提升我省突发公共事件应急救援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20,000,000.00</w:t>
      </w:r>
    </w:p>
    <w:p>
      <w:pPr>
        <w:pStyle w:val="null3"/>
      </w:pPr>
      <w:r>
        <w:rPr>
          <w:rFonts w:ascii="仿宋_GB2312" w:hAnsi="仿宋_GB2312" w:cs="仿宋_GB2312" w:eastAsia="仿宋_GB2312"/>
        </w:rPr>
        <w:t>采购包最高限价（元）: 20,000,000.00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陕西省专业应急救援队伍服务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标的名称：陕西省专业应急救援队伍服务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公司要求</w:t>
            </w:r>
          </w:p>
          <w:p>
            <w:pPr>
              <w:pStyle w:val="null3"/>
              <w:jc w:val="both"/>
            </w:pPr>
            <w:r>
              <w:rPr>
                <w:rFonts w:ascii="仿宋_GB2312" w:hAnsi="仿宋_GB2312" w:cs="仿宋_GB2312" w:eastAsia="仿宋_GB2312"/>
                <w:sz w:val="21"/>
              </w:rPr>
              <w:t>1.提供</w:t>
            </w:r>
            <w:r>
              <w:rPr>
                <w:rFonts w:ascii="仿宋_GB2312" w:hAnsi="仿宋_GB2312" w:cs="仿宋_GB2312" w:eastAsia="仿宋_GB2312"/>
                <w:sz w:val="20"/>
              </w:rPr>
              <w:t>独立的宿营及应急救援训练场地，场地应配备齐全的训练设施，具备良好的交通便利性，便于救援队伍快速集结和出发。</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储备</w:t>
            </w:r>
            <w:r>
              <w:rPr>
                <w:rFonts w:ascii="仿宋_GB2312" w:hAnsi="仿宋_GB2312" w:cs="仿宋_GB2312" w:eastAsia="仿宋_GB2312"/>
                <w:sz w:val="20"/>
              </w:rPr>
              <w:t>一定</w:t>
            </w:r>
            <w:r>
              <w:rPr>
                <w:rFonts w:ascii="仿宋_GB2312" w:hAnsi="仿宋_GB2312" w:cs="仿宋_GB2312" w:eastAsia="仿宋_GB2312"/>
                <w:sz w:val="20"/>
              </w:rPr>
              <w:t>的应急救援基础物资，各类物资的储备数量应根据救援队伍规模和可能承担的救援任务量进行合理配置，确保在救援行动中有足够的物资供应。</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具有完善的应急救援队伍准军事化管理、日常训练、人员培训、救援规程、装备物资管理等制度，具有一线应急救援经验。</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具有相应的专业抢险救援装备，具备专业大型应急救援装备的操作、维护能力。</w:t>
            </w:r>
          </w:p>
          <w:p>
            <w:pPr>
              <w:pStyle w:val="null3"/>
              <w:jc w:val="both"/>
            </w:pPr>
            <w:r>
              <w:rPr>
                <w:rFonts w:ascii="仿宋_GB2312" w:hAnsi="仿宋_GB2312" w:cs="仿宋_GB2312" w:eastAsia="仿宋_GB2312"/>
                <w:sz w:val="20"/>
              </w:rPr>
              <w:t>5.满足采购人执行专业应急救援所需的其他相关服务。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人员指标</w:t>
            </w:r>
          </w:p>
          <w:p>
            <w:pPr>
              <w:pStyle w:val="null3"/>
              <w:jc w:val="both"/>
            </w:pPr>
            <w:r>
              <w:rPr>
                <w:rFonts w:ascii="仿宋_GB2312" w:hAnsi="仿宋_GB2312" w:cs="仿宋_GB2312" w:eastAsia="仿宋_GB2312"/>
                <w:sz w:val="20"/>
              </w:rPr>
              <w:t>中标人需提供不少于</w:t>
            </w:r>
            <w:r>
              <w:rPr>
                <w:rFonts w:ascii="仿宋_GB2312" w:hAnsi="仿宋_GB2312" w:cs="仿宋_GB2312" w:eastAsia="仿宋_GB2312"/>
                <w:sz w:val="20"/>
              </w:rPr>
              <w:t>110名符合要求的救援队员。均为男性，户籍不限，要求思想素质过硬，无犯罪记录，具备一定的军事素养，体能符合应急管理部制定的各类专业应急救援队伍体能要求，技能满足相关岗位要求。具体为：</w:t>
            </w:r>
          </w:p>
          <w:p>
            <w:pPr>
              <w:pStyle w:val="null3"/>
              <w:jc w:val="both"/>
            </w:pPr>
            <w:r>
              <w:rPr>
                <w:rFonts w:ascii="仿宋_GB2312" w:hAnsi="仿宋_GB2312" w:cs="仿宋_GB2312" w:eastAsia="仿宋_GB2312"/>
                <w:sz w:val="20"/>
              </w:rPr>
              <w:t>1.指挥管理岗10名</w:t>
            </w:r>
          </w:p>
          <w:p>
            <w:pPr>
              <w:pStyle w:val="null3"/>
              <w:jc w:val="both"/>
            </w:pPr>
            <w:r>
              <w:rPr>
                <w:rFonts w:ascii="仿宋_GB2312" w:hAnsi="仿宋_GB2312" w:cs="仿宋_GB2312" w:eastAsia="仿宋_GB2312"/>
                <w:sz w:val="20"/>
              </w:rPr>
              <w:t>岗位要求：高中及以上学历，从事工程施工或工程救援工作</w:t>
            </w:r>
            <w:r>
              <w:rPr>
                <w:rFonts w:ascii="仿宋_GB2312" w:hAnsi="仿宋_GB2312" w:cs="仿宋_GB2312" w:eastAsia="仿宋_GB2312"/>
                <w:sz w:val="20"/>
              </w:rPr>
              <w:t>3年（含）以上，具有丰富的工程施工或抢险救援实战经验，至少持有工程类证书、</w:t>
            </w:r>
            <w:r>
              <w:rPr>
                <w:rFonts w:ascii="仿宋_GB2312" w:hAnsi="仿宋_GB2312" w:cs="仿宋_GB2312" w:eastAsia="仿宋_GB2312"/>
                <w:sz w:val="20"/>
              </w:rPr>
              <w:t>挖掘机操作证、推土机操作证</w:t>
            </w:r>
            <w:r>
              <w:rPr>
                <w:rFonts w:ascii="仿宋_GB2312" w:hAnsi="仿宋_GB2312" w:cs="仿宋_GB2312" w:eastAsia="仿宋_GB2312"/>
                <w:sz w:val="20"/>
              </w:rPr>
              <w:t>、救援员证、驾驶证、测量员证等应急救援相关证书</w:t>
            </w:r>
            <w:r>
              <w:rPr>
                <w:rFonts w:ascii="仿宋_GB2312" w:hAnsi="仿宋_GB2312" w:cs="仿宋_GB2312" w:eastAsia="仿宋_GB2312"/>
                <w:sz w:val="20"/>
              </w:rPr>
              <w:t>1项。</w:t>
            </w:r>
          </w:p>
          <w:p>
            <w:pPr>
              <w:pStyle w:val="null3"/>
              <w:jc w:val="both"/>
            </w:pPr>
            <w:r>
              <w:rPr>
                <w:rFonts w:ascii="仿宋_GB2312" w:hAnsi="仿宋_GB2312" w:cs="仿宋_GB2312" w:eastAsia="仿宋_GB2312"/>
                <w:sz w:val="20"/>
              </w:rPr>
              <w:t>2.专业技能岗35名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1）挖掘机、装载机、工程机械修理等岗位不少于10名。岗位要求：高中及以上学历，持有挖掘机、装载机等相关工程机械类操作证书。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2）无人机操作手、测量员、电工等岗位不少于5名。岗位要求：高中及以上学历，持有民用无人驾驶航空器操控员执照、测量员、电工职业技能等级证书。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3）车辆驾驶岗不少于20名。岗位要求：高中及以上学历，持有C1及以上车辆驾驶证。</w:t>
            </w:r>
          </w:p>
          <w:p>
            <w:pPr>
              <w:pStyle w:val="null3"/>
              <w:jc w:val="both"/>
            </w:pPr>
            <w:r>
              <w:rPr>
                <w:rFonts w:ascii="仿宋_GB2312" w:hAnsi="仿宋_GB2312" w:cs="仿宋_GB2312" w:eastAsia="仿宋_GB2312"/>
                <w:sz w:val="20"/>
              </w:rPr>
              <w:t>3.救援队员岗65名</w:t>
            </w:r>
          </w:p>
          <w:p>
            <w:pPr>
              <w:pStyle w:val="null3"/>
              <w:jc w:val="both"/>
            </w:pPr>
            <w:r>
              <w:rPr>
                <w:rFonts w:ascii="仿宋_GB2312" w:hAnsi="仿宋_GB2312" w:cs="仿宋_GB2312" w:eastAsia="仿宋_GB2312"/>
                <w:sz w:val="20"/>
              </w:rPr>
              <w:t>岗位要求：高中及以上学历。</w:t>
            </w:r>
          </w:p>
          <w:p>
            <w:pPr>
              <w:pStyle w:val="null3"/>
              <w:jc w:val="both"/>
            </w:pPr>
            <w:r>
              <w:rPr>
                <w:rFonts w:ascii="仿宋_GB2312" w:hAnsi="仿宋_GB2312" w:cs="仿宋_GB2312" w:eastAsia="仿宋_GB2312"/>
                <w:sz w:val="20"/>
              </w:rPr>
              <w:t>以上所有岗位人员均按照</w:t>
            </w:r>
            <w:r>
              <w:rPr>
                <w:rFonts w:ascii="仿宋_GB2312" w:hAnsi="仿宋_GB2312" w:cs="仿宋_GB2312" w:eastAsia="仿宋_GB2312"/>
                <w:sz w:val="20"/>
              </w:rPr>
              <w:t>“一专多能”要求兼任救援队员。中标人需建立队员动态管控机制，始终保持队伍年轻化，服务期内平均年龄不超过35岁。队员雇佣方式推荐采用直接雇佣模式，签订正式劳动合同。如采用劳务派遣等其他用工形式，劳务派遣单位应依法与被派遣劳动者签订书面劳动合同，确保人员稳定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装备指标</w:t>
            </w:r>
          </w:p>
          <w:p>
            <w:pPr>
              <w:pStyle w:val="null3"/>
              <w:jc w:val="both"/>
            </w:pPr>
            <w:r>
              <w:rPr>
                <w:rFonts w:ascii="仿宋_GB2312" w:hAnsi="仿宋_GB2312" w:cs="仿宋_GB2312" w:eastAsia="仿宋_GB2312"/>
                <w:sz w:val="20"/>
              </w:rPr>
              <w:t>中标人需提供</w:t>
            </w:r>
            <w:r>
              <w:rPr>
                <w:rFonts w:ascii="仿宋_GB2312" w:hAnsi="仿宋_GB2312" w:cs="仿宋_GB2312" w:eastAsia="仿宋_GB2312"/>
                <w:sz w:val="20"/>
              </w:rPr>
              <w:t>110名救援队员相对应的救援装备。</w:t>
            </w:r>
          </w:p>
          <w:p>
            <w:pPr>
              <w:pStyle w:val="null3"/>
              <w:jc w:val="both"/>
            </w:pPr>
            <w:r>
              <w:rPr>
                <w:rFonts w:ascii="仿宋_GB2312" w:hAnsi="仿宋_GB2312" w:cs="仿宋_GB2312" w:eastAsia="仿宋_GB2312"/>
                <w:sz w:val="20"/>
              </w:rPr>
              <w:t>1.提供工程抢通、运输保障、侦测搜寻、水域救援、船舶舟艇、矿山隧道救援、危险化学品事故处置、运输保障及应急保障等9类基本装备不少于10台（套），包括全站仪、</w:t>
            </w:r>
            <w:r>
              <w:rPr>
                <w:rFonts w:ascii="仿宋_GB2312" w:hAnsi="仿宋_GB2312" w:cs="仿宋_GB2312" w:eastAsia="仿宋_GB2312"/>
                <w:sz w:val="20"/>
              </w:rPr>
              <w:t>普通</w:t>
            </w:r>
            <w:r>
              <w:rPr>
                <w:rFonts w:ascii="仿宋_GB2312" w:hAnsi="仿宋_GB2312" w:cs="仿宋_GB2312" w:eastAsia="仿宋_GB2312"/>
                <w:sz w:val="20"/>
              </w:rPr>
              <w:t>挖掘机、装载机、救援抢险运输车、生命探测仪、多功能排水机器人、水陆两栖挖掘机、履带式推土机、冲锋舟、水陆两栖全地形应急救援车、移动式自发电照明灯、多功能气体分析化验车、大口径救援钻机（垂直）、化学洗消车、模块化应急保障装备等，具体技术参数要求为：</w:t>
            </w:r>
          </w:p>
          <w:tbl>
            <w:tblPr>
              <w:tblBorders>
                <w:top w:val="none" w:color="000000" w:sz="4"/>
                <w:left w:val="none" w:color="000000" w:sz="4"/>
                <w:bottom w:val="none" w:color="000000" w:sz="4"/>
                <w:right w:val="none" w:color="000000" w:sz="4"/>
                <w:insideH w:val="none"/>
                <w:insideV w:val="none"/>
              </w:tblBorders>
            </w:tblPr>
            <w:tblGrid>
              <w:gridCol w:w="629"/>
              <w:gridCol w:w="1924"/>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全站仪</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用于灾害现场的测量定位，在水库大坝、边坡、基坑的自动化变形与表面位移监测中发挥着重要作用。测角精度</w:t>
                  </w:r>
                  <w:r>
                    <w:rPr>
                      <w:rFonts w:ascii="仿宋_GB2312" w:hAnsi="仿宋_GB2312" w:cs="仿宋_GB2312" w:eastAsia="仿宋_GB2312"/>
                      <w:sz w:val="20"/>
                    </w:rPr>
                    <w:t>≤6s，测距精度为≤5+5ppm，测程距离≥2km。</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w:t>
                  </w:r>
                  <w:r>
                    <w:rPr>
                      <w:rFonts w:ascii="仿宋_GB2312" w:hAnsi="仿宋_GB2312" w:cs="仿宋_GB2312" w:eastAsia="仿宋_GB2312"/>
                      <w:sz w:val="20"/>
                    </w:rPr>
                    <w:t>挖掘机</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用于倒塌建筑物的拆除、破碎等，能够对边坡失稳引发的河道堵塞、泥石流、道路损毁等事故中的清理疏浚作业，标准铲斗容量</w:t>
                  </w:r>
                  <w:r>
                    <w:rPr>
                      <w:rFonts w:ascii="仿宋_GB2312" w:hAnsi="仿宋_GB2312" w:cs="仿宋_GB2312" w:eastAsia="仿宋_GB2312"/>
                      <w:sz w:val="20"/>
                    </w:rPr>
                    <w:t>≥0.6m³。</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装载机</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用于事故灾害救援过程中装载、货叉等场景。铲斗容量</w:t>
                  </w:r>
                  <w:r>
                    <w:rPr>
                      <w:rFonts w:ascii="仿宋_GB2312" w:hAnsi="仿宋_GB2312" w:cs="仿宋_GB2312" w:eastAsia="仿宋_GB2312"/>
                      <w:sz w:val="20"/>
                    </w:rPr>
                    <w:t>≥2</w:t>
                  </w:r>
                  <w:r>
                    <w:rPr>
                      <w:rFonts w:ascii="仿宋_GB2312" w:hAnsi="仿宋_GB2312" w:cs="仿宋_GB2312" w:eastAsia="仿宋_GB2312"/>
                      <w:sz w:val="20"/>
                    </w:rPr>
                    <w:t>m³</w:t>
                  </w:r>
                  <w:r>
                    <w:rPr>
                      <w:rFonts w:ascii="仿宋_GB2312" w:hAnsi="仿宋_GB2312" w:cs="仿宋_GB2312" w:eastAsia="仿宋_GB2312"/>
                      <w:sz w:val="20"/>
                    </w:rPr>
                    <w:t>，额定载荷</w:t>
                  </w:r>
                  <w:r>
                    <w:rPr>
                      <w:rFonts w:ascii="仿宋_GB2312" w:hAnsi="仿宋_GB2312" w:cs="仿宋_GB2312" w:eastAsia="仿宋_GB2312"/>
                      <w:sz w:val="20"/>
                    </w:rPr>
                    <w:t>≥5000kg。</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救援抢险运输车</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用于救援中大型工程装备的转运保障。车辆最高车速</w:t>
                  </w:r>
                  <w:r>
                    <w:rPr>
                      <w:rFonts w:ascii="仿宋_GB2312" w:hAnsi="仿宋_GB2312" w:cs="仿宋_GB2312" w:eastAsia="仿宋_GB2312"/>
                      <w:sz w:val="20"/>
                    </w:rPr>
                    <w:t>≥90km/h，拖挂重量≥30t，燃油类型为柴油。</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生命探测仪</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用于废墟中生命体的探测工作，可穿透不小于</w:t>
                  </w:r>
                  <w:r>
                    <w:rPr>
                      <w:rFonts w:ascii="仿宋_GB2312" w:hAnsi="仿宋_GB2312" w:cs="仿宋_GB2312" w:eastAsia="仿宋_GB2312"/>
                      <w:sz w:val="20"/>
                    </w:rPr>
                    <w:t>30cm厚实体混凝土墙，探测距离大于5m的静止生命体和10m的运动生命体，防护等级</w:t>
                  </w:r>
                  <w:r>
                    <w:rPr>
                      <w:rFonts w:ascii="仿宋_GB2312" w:hAnsi="仿宋_GB2312" w:cs="仿宋_GB2312" w:eastAsia="仿宋_GB2312"/>
                      <w:sz w:val="20"/>
                    </w:rPr>
                    <w:t>≥IP67。</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多功能排水机器人</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用于排除危险区域的积水，为救援行动提供安全支撑。整机重</w:t>
                  </w:r>
                  <w:r>
                    <w:rPr>
                      <w:rFonts w:ascii="仿宋_GB2312" w:hAnsi="仿宋_GB2312" w:cs="仿宋_GB2312" w:eastAsia="仿宋_GB2312"/>
                      <w:sz w:val="20"/>
                    </w:rPr>
                    <w:t>1t，功率≥40KW，最大排水量≥600m</w:t>
                  </w:r>
                  <w:r>
                    <w:rPr>
                      <w:rFonts w:ascii="仿宋_GB2312" w:hAnsi="仿宋_GB2312" w:cs="仿宋_GB2312" w:eastAsia="仿宋_GB2312"/>
                      <w:sz w:val="20"/>
                      <w:vertAlign w:val="superscript"/>
                    </w:rPr>
                    <w:t>3</w:t>
                  </w:r>
                  <w:r>
                    <w:rPr>
                      <w:rFonts w:ascii="仿宋_GB2312" w:hAnsi="仿宋_GB2312" w:cs="仿宋_GB2312" w:eastAsia="仿宋_GB2312"/>
                      <w:sz w:val="20"/>
                    </w:rPr>
                    <w:t>/h。</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水陆两栖挖掘机</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用于泥石流等造成的河道堵塞疏通工作，功率</w:t>
                  </w:r>
                  <w:r>
                    <w:rPr>
                      <w:rFonts w:ascii="仿宋_GB2312" w:hAnsi="仿宋_GB2312" w:cs="仿宋_GB2312" w:eastAsia="仿宋_GB2312"/>
                      <w:sz w:val="20"/>
                    </w:rPr>
                    <w:t>≥200KW，总重≥30吨，加长臂≥10m，加长臂斗容量≥0.8m</w:t>
                  </w:r>
                  <w:r>
                    <w:rPr>
                      <w:rFonts w:ascii="仿宋_GB2312" w:hAnsi="仿宋_GB2312" w:cs="仿宋_GB2312" w:eastAsia="仿宋_GB2312"/>
                      <w:sz w:val="20"/>
                      <w:vertAlign w:val="superscript"/>
                    </w:rPr>
                    <w:t>3</w:t>
                  </w:r>
                  <w:r>
                    <w:rPr>
                      <w:rFonts w:ascii="仿宋_GB2312" w:hAnsi="仿宋_GB2312" w:cs="仿宋_GB2312" w:eastAsia="仿宋_GB2312"/>
                      <w:sz w:val="20"/>
                    </w:rPr>
                    <w:t>，加长臂最大挖掘深度</w:t>
                  </w:r>
                  <w:r>
                    <w:rPr>
                      <w:rFonts w:ascii="仿宋_GB2312" w:hAnsi="仿宋_GB2312" w:cs="仿宋_GB2312" w:eastAsia="仿宋_GB2312"/>
                      <w:sz w:val="20"/>
                    </w:rPr>
                    <w:t>≥10m，底盘浮力≥</w:t>
                  </w:r>
                  <w:r>
                    <w:rPr>
                      <w:rFonts w:ascii="仿宋_GB2312" w:hAnsi="仿宋_GB2312" w:cs="仿宋_GB2312" w:eastAsia="仿宋_GB2312"/>
                      <w:sz w:val="20"/>
                    </w:rPr>
                    <w:t>4</w:t>
                  </w:r>
                  <w:r>
                    <w:rPr>
                      <w:rFonts w:ascii="仿宋_GB2312" w:hAnsi="仿宋_GB2312" w:cs="仿宋_GB2312" w:eastAsia="仿宋_GB2312"/>
                      <w:sz w:val="20"/>
                    </w:rPr>
                    <w:t>0t</w:t>
                  </w:r>
                  <w:r>
                    <w:rPr>
                      <w:rFonts w:ascii="仿宋_GB2312" w:hAnsi="仿宋_GB2312" w:cs="仿宋_GB2312" w:eastAsia="仿宋_GB2312"/>
                      <w:sz w:val="20"/>
                    </w:rPr>
                    <w:t>。</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履带式推土机</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用于块石、黏土、六面体、钢筋石笼等封堵物料的运输抛投、推平碾压，发动机额定功率</w:t>
                  </w:r>
                  <w:r>
                    <w:rPr>
                      <w:rFonts w:ascii="仿宋_GB2312" w:hAnsi="仿宋_GB2312" w:cs="仿宋_GB2312" w:eastAsia="仿宋_GB2312"/>
                      <w:sz w:val="20"/>
                    </w:rPr>
                    <w:t>≥200KW、整机工作重量≥</w:t>
                  </w:r>
                  <w:r>
                    <w:rPr>
                      <w:rFonts w:ascii="仿宋_GB2312" w:hAnsi="仿宋_GB2312" w:cs="仿宋_GB2312" w:eastAsia="仿宋_GB2312"/>
                      <w:sz w:val="20"/>
                    </w:rPr>
                    <w:t>20</w:t>
                  </w:r>
                  <w:r>
                    <w:rPr>
                      <w:rFonts w:ascii="仿宋_GB2312" w:hAnsi="仿宋_GB2312" w:cs="仿宋_GB2312" w:eastAsia="仿宋_GB2312"/>
                      <w:sz w:val="20"/>
                    </w:rPr>
                    <w:t>t</w:t>
                  </w:r>
                  <w:r>
                    <w:rPr>
                      <w:rFonts w:ascii="仿宋_GB2312" w:hAnsi="仿宋_GB2312" w:cs="仿宋_GB2312" w:eastAsia="仿宋_GB2312"/>
                      <w:sz w:val="20"/>
                    </w:rPr>
                    <w:t>。</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冲锋舟</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用于水域救援中搜救和转移工作，动力</w:t>
                  </w:r>
                  <w:r>
                    <w:rPr>
                      <w:rFonts w:ascii="仿宋_GB2312" w:hAnsi="仿宋_GB2312" w:cs="仿宋_GB2312" w:eastAsia="仿宋_GB2312"/>
                      <w:sz w:val="20"/>
                    </w:rPr>
                    <w:t>≥25马力，长度≥4m，乘坐人数≥6人。</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水陆两栖全地形应急救援车</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用于洪涝灾害、城市内涝等灾害，水陆两栖、全驱动、高机动。功率</w:t>
                  </w:r>
                  <w:r>
                    <w:rPr>
                      <w:rFonts w:ascii="仿宋_GB2312" w:hAnsi="仿宋_GB2312" w:cs="仿宋_GB2312" w:eastAsia="仿宋_GB2312"/>
                      <w:sz w:val="20"/>
                    </w:rPr>
                    <w:t>≥50KW，陆地行驶速度≥50km/h，运载≥6人，水上行驶速度≥5km/h。</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移动式自发电照明灯</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用于救援行动中现场照明保障，满足救援现场光照需求，配套皮卡运输车。探照灯功率</w:t>
                  </w:r>
                  <w:r>
                    <w:rPr>
                      <w:rFonts w:ascii="仿宋_GB2312" w:hAnsi="仿宋_GB2312" w:cs="仿宋_GB2312" w:eastAsia="仿宋_GB2312"/>
                      <w:sz w:val="20"/>
                    </w:rPr>
                    <w:t>≥3×300W，主照灯功率≥2000W，辅助照明功率≥2×50W（LED），移动发电机功率≥</w:t>
                  </w:r>
                  <w:r>
                    <w:rPr>
                      <w:rFonts w:ascii="仿宋_GB2312" w:hAnsi="仿宋_GB2312" w:cs="仿宋_GB2312" w:eastAsia="仿宋_GB2312"/>
                      <w:sz w:val="20"/>
                    </w:rPr>
                    <w:t>5</w:t>
                  </w:r>
                  <w:r>
                    <w:rPr>
                      <w:rFonts w:ascii="仿宋_GB2312" w:hAnsi="仿宋_GB2312" w:cs="仿宋_GB2312" w:eastAsia="仿宋_GB2312"/>
                      <w:sz w:val="20"/>
                    </w:rPr>
                    <w:t>K</w:t>
                  </w:r>
                  <w:r>
                    <w:rPr>
                      <w:rFonts w:ascii="仿宋_GB2312" w:hAnsi="仿宋_GB2312" w:cs="仿宋_GB2312" w:eastAsia="仿宋_GB2312"/>
                      <w:sz w:val="20"/>
                    </w:rPr>
                    <w:t>W。</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多功能气体分析化验车</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用于矿井气体分析、自然火灾预报和瓦斯爆炸危险程度判别。车辆配有减震装置（技术），可在救灾现场分析</w:t>
                  </w:r>
                  <w:r>
                    <w:rPr>
                      <w:rFonts w:ascii="仿宋_GB2312" w:hAnsi="仿宋_GB2312" w:cs="仿宋_GB2312" w:eastAsia="仿宋_GB2312"/>
                      <w:sz w:val="20"/>
                    </w:rPr>
                    <w:t>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CH</w:t>
                  </w:r>
                  <w:r>
                    <w:rPr>
                      <w:rFonts w:ascii="仿宋_GB2312" w:hAnsi="仿宋_GB2312" w:cs="仿宋_GB2312" w:eastAsia="仿宋_GB2312"/>
                      <w:sz w:val="20"/>
                      <w:vertAlign w:val="subscript"/>
                    </w:rPr>
                    <w:t>4</w:t>
                  </w:r>
                  <w:r>
                    <w:rPr>
                      <w:rFonts w:ascii="仿宋_GB2312" w:hAnsi="仿宋_GB2312" w:cs="仿宋_GB2312" w:eastAsia="仿宋_GB2312"/>
                      <w:sz w:val="20"/>
                    </w:rPr>
                    <w:t>、</w:t>
                  </w:r>
                  <w:r>
                    <w:rPr>
                      <w:rFonts w:ascii="仿宋_GB2312" w:hAnsi="仿宋_GB2312" w:cs="仿宋_GB2312" w:eastAsia="仿宋_GB2312"/>
                      <w:sz w:val="20"/>
                    </w:rPr>
                    <w:t>CO、CO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H</w:t>
                  </w:r>
                  <w:r>
                    <w:rPr>
                      <w:rFonts w:ascii="仿宋_GB2312" w:hAnsi="仿宋_GB2312" w:cs="仿宋_GB2312" w:eastAsia="仿宋_GB2312"/>
                      <w:sz w:val="20"/>
                      <w:vertAlign w:val="subscript"/>
                    </w:rPr>
                    <w:t>2</w:t>
                  </w:r>
                  <w:r>
                    <w:rPr>
                      <w:rFonts w:ascii="仿宋_GB2312" w:hAnsi="仿宋_GB2312" w:cs="仿宋_GB2312" w:eastAsia="仿宋_GB2312"/>
                      <w:sz w:val="20"/>
                    </w:rPr>
                    <w:t>S、NO、NO</w:t>
                  </w:r>
                  <w:r>
                    <w:rPr>
                      <w:rFonts w:ascii="仿宋_GB2312" w:hAnsi="仿宋_GB2312" w:cs="仿宋_GB2312" w:eastAsia="仿宋_GB2312"/>
                      <w:sz w:val="20"/>
                      <w:vertAlign w:val="subscript"/>
                    </w:rPr>
                    <w:t>2</w:t>
                  </w:r>
                  <w:r>
                    <w:rPr>
                      <w:rFonts w:ascii="仿宋_GB2312" w:hAnsi="仿宋_GB2312" w:cs="仿宋_GB2312" w:eastAsia="仿宋_GB2312"/>
                      <w:sz w:val="20"/>
                    </w:rPr>
                    <w:t>等气体成份，实时检测气体温度变化。</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大口径救援钻机（垂直）</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用于竖向钻孔，配合护筒形成竖向救援通道，最大钻孔孔径</w:t>
                  </w:r>
                  <w:r>
                    <w:rPr>
                      <w:rFonts w:ascii="仿宋_GB2312" w:hAnsi="仿宋_GB2312" w:cs="仿宋_GB2312" w:eastAsia="仿宋_GB2312"/>
                      <w:sz w:val="20"/>
                    </w:rPr>
                    <w:t>≥1200mm，最大钻孔深度≥60m，配有长度不小于100m的钻杆。</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化学洗消车</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要用于化学灾害事故现场，对受污染的人员、地面、设备等进行冲洗和消毒。</w:t>
                  </w:r>
                  <w:r>
                    <w:rPr>
                      <w:rFonts w:ascii="仿宋_GB2312" w:hAnsi="仿宋_GB2312" w:cs="仿宋_GB2312" w:eastAsia="仿宋_GB2312"/>
                      <w:sz w:val="20"/>
                    </w:rPr>
                    <w:t>罐体容积</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m³，配备洗消帐篷、空气加热器、高压清洗机、洗消粉、清洗剂等。</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模块化应急保障装备</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用于救援中现场临时营地的搭建保障，用于抢险队员现场生活保障服务，满足后勤住宿，供电，静储水，供暖需求，帐篷面积</w:t>
                  </w:r>
                  <w:r>
                    <w:rPr>
                      <w:rFonts w:ascii="仿宋_GB2312" w:hAnsi="仿宋_GB2312" w:cs="仿宋_GB2312" w:eastAsia="仿宋_GB2312"/>
                      <w:sz w:val="20"/>
                    </w:rPr>
                    <w:t>≥10m</w:t>
                  </w:r>
                  <w:r>
                    <w:rPr>
                      <w:rFonts w:ascii="仿宋_GB2312" w:hAnsi="仿宋_GB2312" w:cs="仿宋_GB2312" w:eastAsia="仿宋_GB2312"/>
                      <w:sz w:val="20"/>
                      <w:vertAlign w:val="superscript"/>
                    </w:rPr>
                    <w:t>2</w:t>
                  </w:r>
                  <w:r>
                    <w:rPr>
                      <w:rFonts w:ascii="仿宋_GB2312" w:hAnsi="仿宋_GB2312" w:cs="仿宋_GB2312" w:eastAsia="仿宋_GB2312"/>
                      <w:sz w:val="20"/>
                    </w:rPr>
                    <w:t>。</w:t>
                  </w:r>
                </w:p>
              </w:tc>
            </w:tr>
          </w:tbl>
          <w:p>
            <w:pPr>
              <w:pStyle w:val="null3"/>
              <w:jc w:val="both"/>
            </w:pPr>
            <w:r>
              <w:rPr>
                <w:rFonts w:ascii="仿宋_GB2312" w:hAnsi="仿宋_GB2312" w:cs="仿宋_GB2312" w:eastAsia="仿宋_GB2312"/>
                <w:sz w:val="20"/>
              </w:rPr>
              <w:t>2.提供采购人所有的水域救援、抗洪抢险、森林（草原）火灾扑救以及保障车辆4大类50台（套）应急救援装备托管服务。在服务期内，中标人需建立装备管理制度，定期对装备、器材进行维护保养，同时填写维修保养记录，并留档备查，确保装备器材保持完好状态。装备如有丢失、故意损坏须进行赔偿。</w:t>
            </w:r>
          </w:p>
          <w:p>
            <w:pPr>
              <w:pStyle w:val="null3"/>
              <w:jc w:val="center"/>
            </w:pPr>
            <w:r>
              <w:rPr>
                <w:rFonts w:ascii="仿宋_GB2312" w:hAnsi="仿宋_GB2312" w:cs="仿宋_GB2312" w:eastAsia="仿宋_GB2312"/>
                <w:sz w:val="21"/>
                <w:shd w:fill="FFFFFF" w:val="clear"/>
              </w:rPr>
              <w:t>托管装备清单</w:t>
            </w:r>
          </w:p>
          <w:tbl>
            <w:tblPr>
              <w:tblBorders>
                <w:top w:val="none" w:color="000000" w:sz="4"/>
                <w:left w:val="none" w:color="000000" w:sz="4"/>
                <w:bottom w:val="none" w:color="000000" w:sz="4"/>
                <w:right w:val="none" w:color="000000" w:sz="4"/>
                <w:insideH w:val="none"/>
                <w:insideV w:val="none"/>
              </w:tblBorders>
            </w:tblPr>
            <w:tblGrid>
              <w:gridCol w:w="281"/>
              <w:gridCol w:w="454"/>
              <w:gridCol w:w="1314"/>
              <w:gridCol w:w="503"/>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装备类别</w:t>
                  </w:r>
                </w:p>
              </w:tc>
              <w:tc>
                <w:tcPr>
                  <w:tcW w:type="dxa" w:w="1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装备名称</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数量（台</w:t>
                  </w:r>
                  <w:r>
                    <w:rPr>
                      <w:rFonts w:ascii="仿宋_GB2312" w:hAnsi="仿宋_GB2312" w:cs="仿宋_GB2312" w:eastAsia="仿宋_GB2312"/>
                      <w:sz w:val="20"/>
                    </w:rPr>
                    <w:t>/套）</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水域救援</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救援船艇</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水上遥控救援飞翼</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中小型水陆两栖救援车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专业救援船艇（空气动力船）</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专业救援船艇（指挥艇）</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抗洪抢险</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大流量排水抢险车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多功能轻型应急救援车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水下机器人</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r>
                    <w:rPr>
                      <w:rFonts w:ascii="仿宋_GB2312" w:hAnsi="仿宋_GB2312" w:cs="仿宋_GB2312" w:eastAsia="仿宋_GB2312"/>
                      <w:sz w:val="20"/>
                    </w:rPr>
                    <w:t>(草原)</w:t>
                  </w:r>
                  <w:r>
                    <w:br/>
                  </w:r>
                  <w:r>
                    <w:rPr>
                      <w:rFonts w:ascii="仿宋_GB2312" w:hAnsi="仿宋_GB2312" w:cs="仿宋_GB2312" w:eastAsia="仿宋_GB2312"/>
                      <w:sz w:val="20"/>
                    </w:rPr>
                    <w:t>火灾扑救</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履带式森林消防车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54"/>
                  <w:vMerge/>
                  <w:tcBorders>
                    <w:top w:val="none" w:color="000000" w:sz="4"/>
                    <w:left w:val="none" w:color="000000" w:sz="4"/>
                    <w:bottom w:val="non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泡沫消防车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54"/>
                  <w:vMerge/>
                  <w:tcBorders>
                    <w:top w:val="none" w:color="000000" w:sz="4"/>
                    <w:left w:val="none" w:color="000000" w:sz="4"/>
                    <w:bottom w:val="non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双向森林消防车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4"/>
                  <w:vMerge/>
                  <w:tcBorders>
                    <w:top w:val="none" w:color="000000" w:sz="4"/>
                    <w:left w:val="none" w:color="000000" w:sz="4"/>
                    <w:bottom w:val="non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中大型水罐消防车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保障车辆</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后勤保障车</w:t>
                  </w:r>
                  <w:r>
                    <w:rPr>
                      <w:rFonts w:ascii="仿宋_GB2312" w:hAnsi="仿宋_GB2312" w:cs="仿宋_GB2312" w:eastAsia="仿宋_GB2312"/>
                      <w:sz w:val="20"/>
                    </w:rPr>
                    <w:t>(淋浴车)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后勤保障车</w:t>
                  </w:r>
                  <w:r>
                    <w:rPr>
                      <w:rFonts w:ascii="仿宋_GB2312" w:hAnsi="仿宋_GB2312" w:cs="仿宋_GB2312" w:eastAsia="仿宋_GB2312"/>
                      <w:sz w:val="20"/>
                    </w:rPr>
                    <w:t>(洗衣烘干车)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后勤保障车</w:t>
                  </w:r>
                  <w:r>
                    <w:rPr>
                      <w:rFonts w:ascii="仿宋_GB2312" w:hAnsi="仿宋_GB2312" w:cs="仿宋_GB2312" w:eastAsia="仿宋_GB2312"/>
                      <w:sz w:val="20"/>
                    </w:rPr>
                    <w:t>(宿营车)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后勤保障车</w:t>
                  </w:r>
                  <w:r>
                    <w:rPr>
                      <w:rFonts w:ascii="仿宋_GB2312" w:hAnsi="仿宋_GB2312" w:cs="仿宋_GB2312" w:eastAsia="仿宋_GB2312"/>
                      <w:sz w:val="20"/>
                    </w:rPr>
                    <w:t>(饮食保障车)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54"/>
                  <w:vMerge/>
                  <w:tcBorders>
                    <w:top w:val="none" w:color="000000" w:sz="4"/>
                    <w:left w:val="none" w:color="000000" w:sz="4"/>
                    <w:bottom w:val="single" w:color="000000" w:sz="4"/>
                    <w:right w:val="single" w:color="000000" w:sz="4"/>
                  </w:tcBorders>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应急前突车</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场地指标</w:t>
            </w:r>
          </w:p>
          <w:p>
            <w:pPr>
              <w:pStyle w:val="null3"/>
              <w:jc w:val="both"/>
            </w:pPr>
            <w:r>
              <w:rPr>
                <w:rFonts w:ascii="仿宋_GB2312" w:hAnsi="仿宋_GB2312" w:cs="仿宋_GB2312" w:eastAsia="仿宋_GB2312"/>
                <w:sz w:val="20"/>
              </w:rPr>
              <w:t>中标人需提供能够容纳不少于</w:t>
            </w:r>
            <w:r>
              <w:rPr>
                <w:rFonts w:ascii="仿宋_GB2312" w:hAnsi="仿宋_GB2312" w:cs="仿宋_GB2312" w:eastAsia="仿宋_GB2312"/>
                <w:sz w:val="20"/>
              </w:rPr>
              <w:t>110人救援队伍日常训练、值班备勤、宿营等功能的场地，场地总面积不小于7000</w:t>
            </w:r>
            <w:r>
              <w:rPr>
                <w:rFonts w:ascii="仿宋_GB2312" w:hAnsi="仿宋_GB2312" w:cs="仿宋_GB2312" w:eastAsia="仿宋_GB2312"/>
                <w:sz w:val="20"/>
              </w:rPr>
              <w:t>㎡</w:t>
            </w:r>
            <w:r>
              <w:rPr>
                <w:rFonts w:ascii="仿宋_GB2312" w:hAnsi="仿宋_GB2312" w:cs="仿宋_GB2312" w:eastAsia="仿宋_GB2312"/>
                <w:sz w:val="20"/>
              </w:rPr>
              <w:t>，建筑面积不小于</w:t>
            </w:r>
            <w:r>
              <w:rPr>
                <w:rFonts w:ascii="仿宋_GB2312" w:hAnsi="仿宋_GB2312" w:cs="仿宋_GB2312" w:eastAsia="仿宋_GB2312"/>
                <w:sz w:val="20"/>
              </w:rPr>
              <w:t>2000</w:t>
            </w:r>
            <w:r>
              <w:rPr>
                <w:rFonts w:ascii="仿宋_GB2312" w:hAnsi="仿宋_GB2312" w:cs="仿宋_GB2312" w:eastAsia="仿宋_GB2312"/>
                <w:sz w:val="20"/>
              </w:rPr>
              <w:t>㎡</w:t>
            </w:r>
            <w:r>
              <w:rPr>
                <w:rFonts w:ascii="仿宋_GB2312" w:hAnsi="仿宋_GB2312" w:cs="仿宋_GB2312" w:eastAsia="仿宋_GB2312"/>
                <w:sz w:val="20"/>
              </w:rPr>
              <w:t>，训练场地不小于</w:t>
            </w:r>
            <w:r>
              <w:rPr>
                <w:rFonts w:ascii="仿宋_GB2312" w:hAnsi="仿宋_GB2312" w:cs="仿宋_GB2312" w:eastAsia="仿宋_GB2312"/>
                <w:sz w:val="20"/>
              </w:rPr>
              <w:t>3000</w:t>
            </w:r>
            <w:r>
              <w:rPr>
                <w:rFonts w:ascii="仿宋_GB2312" w:hAnsi="仿宋_GB2312" w:cs="仿宋_GB2312" w:eastAsia="仿宋_GB2312"/>
                <w:sz w:val="20"/>
              </w:rPr>
              <w:t>㎡</w:t>
            </w:r>
            <w:r>
              <w:rPr>
                <w:rFonts w:ascii="仿宋_GB2312" w:hAnsi="仿宋_GB2312" w:cs="仿宋_GB2312" w:eastAsia="仿宋_GB2312"/>
                <w:sz w:val="20"/>
              </w:rPr>
              <w:t>。设值班、指挥、会商等功能设施，同时保证相关基础设施正常运行。场地位置应位于西安市区周边交通便利区域，</w:t>
            </w:r>
            <w:r>
              <w:rPr>
                <w:rFonts w:ascii="仿宋_GB2312" w:hAnsi="仿宋_GB2312" w:cs="仿宋_GB2312" w:eastAsia="仿宋_GB2312"/>
                <w:sz w:val="20"/>
              </w:rPr>
              <w:t>可快速进入</w:t>
            </w:r>
            <w:r>
              <w:rPr>
                <w:rFonts w:ascii="仿宋_GB2312" w:hAnsi="仿宋_GB2312" w:cs="仿宋_GB2312" w:eastAsia="仿宋_GB2312"/>
                <w:sz w:val="20"/>
              </w:rPr>
              <w:t>高速公路。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服务指标</w:t>
            </w:r>
          </w:p>
          <w:p>
            <w:pPr>
              <w:pStyle w:val="null3"/>
              <w:jc w:val="both"/>
            </w:pPr>
            <w:r>
              <w:rPr>
                <w:rFonts w:ascii="仿宋_GB2312" w:hAnsi="仿宋_GB2312" w:cs="仿宋_GB2312" w:eastAsia="仿宋_GB2312"/>
                <w:sz w:val="20"/>
              </w:rPr>
              <w:t>1.中标人应根据采购人的要求，制定队伍组织制度、值班制度、考勤制度、装备管理制度、内务制度、安全管理制度、训练演练制度、预案管理制度等各项制度，经采购人同意后予以执行。</w:t>
            </w:r>
          </w:p>
          <w:p>
            <w:pPr>
              <w:pStyle w:val="null3"/>
              <w:jc w:val="both"/>
            </w:pPr>
            <w:r>
              <w:rPr>
                <w:rFonts w:ascii="仿宋_GB2312" w:hAnsi="仿宋_GB2312" w:cs="仿宋_GB2312" w:eastAsia="仿宋_GB2312"/>
                <w:sz w:val="20"/>
              </w:rPr>
              <w:t>2.中标人需制定理论学习和技能训练课程计划，预设典型案例场景，经采购人同意后，组织开展</w:t>
            </w:r>
            <w:r>
              <w:rPr>
                <w:rFonts w:ascii="仿宋_GB2312" w:hAnsi="仿宋_GB2312" w:cs="仿宋_GB2312" w:eastAsia="仿宋_GB2312"/>
                <w:sz w:val="20"/>
              </w:rPr>
              <w:t>工程救援、</w:t>
            </w:r>
            <w:r>
              <w:rPr>
                <w:rFonts w:ascii="仿宋_GB2312" w:hAnsi="仿宋_GB2312" w:cs="仿宋_GB2312" w:eastAsia="仿宋_GB2312"/>
                <w:sz w:val="20"/>
              </w:rPr>
              <w:t>水域救援、森林草原火灾救援以及矿山隧道救援、危险化学品</w:t>
            </w:r>
            <w:r>
              <w:rPr>
                <w:rFonts w:ascii="仿宋_GB2312" w:hAnsi="仿宋_GB2312" w:cs="仿宋_GB2312" w:eastAsia="仿宋_GB2312"/>
                <w:sz w:val="20"/>
              </w:rPr>
              <w:t>救援</w:t>
            </w:r>
            <w:r>
              <w:rPr>
                <w:rFonts w:ascii="仿宋_GB2312" w:hAnsi="仿宋_GB2312" w:cs="仿宋_GB2312" w:eastAsia="仿宋_GB2312"/>
                <w:sz w:val="20"/>
              </w:rPr>
              <w:t>等专业应急救援训练。根据采购人调度指令，参加应急救援等相关应急演练活动。</w:t>
            </w:r>
          </w:p>
          <w:p>
            <w:pPr>
              <w:pStyle w:val="null3"/>
              <w:jc w:val="both"/>
            </w:pPr>
            <w:r>
              <w:rPr>
                <w:rFonts w:ascii="仿宋_GB2312" w:hAnsi="仿宋_GB2312" w:cs="仿宋_GB2312" w:eastAsia="仿宋_GB2312"/>
                <w:sz w:val="20"/>
              </w:rPr>
              <w:t>★3.中标人提供的队伍需按照准军事化管理和24小时战备值班要求，实行队伍领导带班制度。平常时段战备值班备勤率60%；重要时段（汛期、队伍前置驻防等）值班备勤率80%；特殊时段值班备勤率95%。</w:t>
            </w:r>
          </w:p>
          <w:p>
            <w:pPr>
              <w:pStyle w:val="null3"/>
              <w:jc w:val="both"/>
            </w:pPr>
            <w:r>
              <w:rPr>
                <w:rFonts w:ascii="仿宋_GB2312" w:hAnsi="仿宋_GB2312" w:cs="仿宋_GB2312" w:eastAsia="仿宋_GB2312"/>
                <w:sz w:val="20"/>
              </w:rPr>
              <w:t>★4.队伍需服从采购人的统一调度指令，采购人作为指挥主体，拥有任务发起、指令下达、任务调整、任务终止权限。接到采购人指令后，中标人拥有内部组织、指挥权。若救援现场出现危及队员生命安全的突发情况，中标人拥有紧急撤离权。中标人救援全程需向采购人实时反馈进展。</w:t>
            </w:r>
          </w:p>
          <w:p>
            <w:pPr>
              <w:pStyle w:val="null3"/>
              <w:jc w:val="both"/>
            </w:pPr>
            <w:r>
              <w:rPr>
                <w:rFonts w:ascii="仿宋_GB2312" w:hAnsi="仿宋_GB2312" w:cs="仿宋_GB2312" w:eastAsia="仿宋_GB2312"/>
                <w:sz w:val="20"/>
              </w:rPr>
              <w:t>★5.接到任务后，需按应急救援要求完成出动响应。接令、集结、出发确认时效≤1小时（重型装备≤2小时）；正常情况下，省内100公里范围内3小时内到达事故现场；省内100-300公里范围内6小时内到达事故现场；省内300公里以上12小时内到达事故现场。遇特殊情况导致出动延误，应及时报备，并尽快抵达现场。</w:t>
            </w:r>
          </w:p>
          <w:p>
            <w:pPr>
              <w:pStyle w:val="null3"/>
              <w:jc w:val="both"/>
            </w:pPr>
            <w:r>
              <w:rPr>
                <w:rFonts w:ascii="仿宋_GB2312" w:hAnsi="仿宋_GB2312" w:cs="仿宋_GB2312" w:eastAsia="仿宋_GB2312"/>
                <w:sz w:val="20"/>
              </w:rPr>
              <w:t>★6.中标人达到现场后，需按照救援规程，指挥队伍参加应急救援。任务类型主要包括：全省范围内地震、地质灾害、洪涝</w:t>
            </w:r>
            <w:r>
              <w:rPr>
                <w:rFonts w:ascii="仿宋_GB2312" w:hAnsi="仿宋_GB2312" w:cs="仿宋_GB2312" w:eastAsia="仿宋_GB2312"/>
                <w:sz w:val="20"/>
              </w:rPr>
              <w:t>、森林草原火灾</w:t>
            </w:r>
            <w:r>
              <w:rPr>
                <w:rFonts w:ascii="仿宋_GB2312" w:hAnsi="仿宋_GB2312" w:cs="仿宋_GB2312" w:eastAsia="仿宋_GB2312"/>
                <w:sz w:val="20"/>
              </w:rPr>
              <w:t>等自然灾害领域</w:t>
            </w:r>
            <w:r>
              <w:rPr>
                <w:rFonts w:ascii="仿宋_GB2312" w:hAnsi="仿宋_GB2312" w:cs="仿宋_GB2312" w:eastAsia="仿宋_GB2312"/>
                <w:sz w:val="20"/>
              </w:rPr>
              <w:t>；</w:t>
            </w:r>
            <w:r>
              <w:rPr>
                <w:rFonts w:ascii="仿宋_GB2312" w:hAnsi="仿宋_GB2312" w:cs="仿宋_GB2312" w:eastAsia="仿宋_GB2312"/>
                <w:sz w:val="20"/>
              </w:rPr>
              <w:t>矿山隧道、危险化学品和特种行业等安全生产领域各类专业应急救援任务；采购人下达的其他应急救援任务。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1.中标人须根据本项目的定位和目标，给出针对性强、内容完善、条理清晰、符合本项目情况的服务方案。</w:t>
            </w:r>
          </w:p>
          <w:p>
            <w:pPr>
              <w:pStyle w:val="null3"/>
              <w:jc w:val="both"/>
            </w:pPr>
            <w:r>
              <w:rPr>
                <w:rFonts w:ascii="仿宋_GB2312" w:hAnsi="仿宋_GB2312" w:cs="仿宋_GB2312" w:eastAsia="仿宋_GB2312"/>
                <w:sz w:val="20"/>
              </w:rPr>
              <w:t>2.采购人对所属服务人员及各类活动有知情权和管理权，中标人在服务期间需接受采购人的监督、检查、管理。为本项目配备的人员以清单形式在合同中予以明确，需经采购人同意后方可使用。工作中不负责任、违反管理规定的队员，中标人应按照采购人要求进行更换。为确保服务质量，中标人在未取得采购人同意前，不得私自更换队员；如队员辞职或更换，需派出相同资质且符合岗位要求的队员进行替补。</w:t>
            </w:r>
          </w:p>
          <w:p>
            <w:pPr>
              <w:pStyle w:val="null3"/>
              <w:jc w:val="both"/>
            </w:pPr>
            <w:r>
              <w:rPr>
                <w:rFonts w:ascii="仿宋_GB2312" w:hAnsi="仿宋_GB2312" w:cs="仿宋_GB2312" w:eastAsia="仿宋_GB2312"/>
                <w:sz w:val="20"/>
              </w:rPr>
              <w:t>3.服务期间场地保障（含营院租赁、水电燃气、营区维护改造）、装备管理（含托管装备）与训练、餐饮保障、</w:t>
            </w:r>
            <w:r>
              <w:rPr>
                <w:rFonts w:ascii="仿宋_GB2312" w:hAnsi="仿宋_GB2312" w:cs="仿宋_GB2312" w:eastAsia="仿宋_GB2312"/>
                <w:sz w:val="20"/>
              </w:rPr>
              <w:t>人身意外保险</w:t>
            </w:r>
            <w:r>
              <w:rPr>
                <w:rFonts w:ascii="仿宋_GB2312" w:hAnsi="仿宋_GB2312" w:cs="仿宋_GB2312" w:eastAsia="仿宋_GB2312"/>
                <w:sz w:val="20"/>
              </w:rPr>
              <w:t>、</w:t>
            </w:r>
            <w:r>
              <w:rPr>
                <w:rFonts w:ascii="仿宋_GB2312" w:hAnsi="仿宋_GB2312" w:cs="仿宋_GB2312" w:eastAsia="仿宋_GB2312"/>
                <w:sz w:val="20"/>
              </w:rPr>
              <w:t>人员工资（含五险一金）</w:t>
            </w:r>
            <w:r>
              <w:rPr>
                <w:rFonts w:ascii="仿宋_GB2312" w:hAnsi="仿宋_GB2312" w:cs="仿宋_GB2312" w:eastAsia="仿宋_GB2312"/>
                <w:sz w:val="20"/>
              </w:rPr>
              <w:t>、遂行救援任务等费用由中标人承担，并对经费使用合规性负责，配合采购人做好项目审计。</w:t>
            </w:r>
          </w:p>
          <w:p>
            <w:pPr>
              <w:pStyle w:val="null3"/>
              <w:jc w:val="both"/>
            </w:pPr>
            <w:r>
              <w:rPr>
                <w:rFonts w:ascii="仿宋_GB2312" w:hAnsi="仿宋_GB2312" w:cs="仿宋_GB2312" w:eastAsia="仿宋_GB2312"/>
                <w:sz w:val="20"/>
              </w:rPr>
              <w:t>★4.提供服务的队员和车辆、物资装备等需向采购人报备管理；未经采购人许可，不得私自调动外出参加其他救援任务、商业活动或其他活动；不得出租、出借、出让托管的装备；不得以“陕西省专业应急救援总队”等名义接待任何外来单位或人员。</w:t>
            </w:r>
          </w:p>
          <w:p>
            <w:pPr>
              <w:pStyle w:val="null3"/>
              <w:jc w:val="both"/>
            </w:pPr>
            <w:r>
              <w:rPr>
                <w:rFonts w:ascii="仿宋_GB2312" w:hAnsi="仿宋_GB2312" w:cs="仿宋_GB2312" w:eastAsia="仿宋_GB2312"/>
                <w:sz w:val="20"/>
              </w:rPr>
              <w:t>5.队伍岗位设置、人事任免、训练管理、抢险备勤、外出救援、项目实施等重大事项需经采购人同意后实施。</w:t>
            </w:r>
          </w:p>
          <w:p>
            <w:pPr>
              <w:pStyle w:val="null3"/>
              <w:jc w:val="both"/>
            </w:pPr>
            <w:r>
              <w:rPr>
                <w:rFonts w:ascii="仿宋_GB2312" w:hAnsi="仿宋_GB2312" w:cs="仿宋_GB2312" w:eastAsia="仿宋_GB2312"/>
                <w:sz w:val="20"/>
              </w:rPr>
              <w:t>6.服务期内中标人执行救援任务产生的图片、影像、文字等资料所有权归采购人所有，应及时存档并随时接受采购人查验，未经采购人批准不得擅自发布。项目服务期满后，中标人仍应承担保密义务。</w:t>
            </w:r>
          </w:p>
          <w:p>
            <w:pPr>
              <w:pStyle w:val="null3"/>
              <w:jc w:val="both"/>
            </w:pPr>
            <w:r>
              <w:rPr>
                <w:rFonts w:ascii="仿宋_GB2312" w:hAnsi="仿宋_GB2312" w:cs="仿宋_GB2312" w:eastAsia="仿宋_GB2312"/>
                <w:sz w:val="20"/>
              </w:rPr>
              <w:t>7.中标人在该项目服务期间需承担为本项目提供服务队员的安全保障义务，购买人身意外保险，依法缴纳五险一金，承担救援队员日常医疗、工伤认定与赔付。落实工亡、伤残抚恤。引起的人事关系、劳动关系、薪资关系等问题由中标人负责。</w:t>
            </w:r>
          </w:p>
          <w:p>
            <w:pPr>
              <w:pStyle w:val="null3"/>
              <w:jc w:val="both"/>
            </w:pPr>
            <w:r>
              <w:rPr>
                <w:rFonts w:ascii="仿宋_GB2312" w:hAnsi="仿宋_GB2312" w:cs="仿宋_GB2312" w:eastAsia="仿宋_GB2312"/>
                <w:sz w:val="20"/>
              </w:rPr>
              <w:t>8.队员平均工资参考上一年度陕西省非私营单位年平均工资。</w:t>
            </w:r>
          </w:p>
          <w:p>
            <w:pPr>
              <w:pStyle w:val="null3"/>
              <w:jc w:val="both"/>
            </w:pPr>
            <w:r>
              <w:rPr>
                <w:rFonts w:ascii="仿宋_GB2312" w:hAnsi="仿宋_GB2312" w:cs="仿宋_GB2312" w:eastAsia="仿宋_GB2312"/>
                <w:sz w:val="20"/>
              </w:rPr>
              <w:t>9.中标人需在中标后15个工作日内，向采购人提供满足需求的110名救援队员、场地、装备供采购人查验。如中标人事先未征得采购方同意并得到采购方的谅解而单方面延迟交付，每延期一天，应向采购人支付合同额0.1%的违约金；延期超过15天，视为自动放弃中标资格。</w:t>
            </w:r>
          </w:p>
          <w:p>
            <w:pPr>
              <w:pStyle w:val="null3"/>
              <w:jc w:val="both"/>
            </w:pPr>
            <w:r>
              <w:rPr>
                <w:rFonts w:ascii="仿宋_GB2312" w:hAnsi="仿宋_GB2312" w:cs="仿宋_GB2312" w:eastAsia="仿宋_GB2312"/>
                <w:sz w:val="20"/>
              </w:rPr>
              <w:t>10.采购人每季度开展1次考核，重点核查人员稳定性、装备完好率、应急响应速度、救援任务完成质量；年度考核结果作为尾款支付的主要依据，考核不合格每1次扣减年度服务费0.5%，连续2次不合格采购人</w:t>
            </w:r>
            <w:r>
              <w:rPr>
                <w:rFonts w:ascii="仿宋_GB2312" w:hAnsi="仿宋_GB2312" w:cs="仿宋_GB2312" w:eastAsia="仿宋_GB2312"/>
                <w:sz w:val="20"/>
              </w:rPr>
              <w:t>有权</w:t>
            </w:r>
            <w:r>
              <w:rPr>
                <w:rFonts w:ascii="仿宋_GB2312" w:hAnsi="仿宋_GB2312" w:cs="仿宋_GB2312" w:eastAsia="仿宋_GB2312"/>
                <w:sz w:val="20"/>
              </w:rPr>
              <w:t>终止合同。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服务期满2个季度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服务期满3个季度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通过电子化交易系统投标，供应商除需在电子化交易系统上传投标文件外，另外还需在投标截止时间前，向代理机构递交密封完好的系统生成的纸质版投标文件（一份，胶装），密封封套上标注项目名称、项目编号及供应商名称。有关报价文件，供应商可以不提供。开标当日，供应商应保持通讯畅通，以便出现询标时能及时在线。 二、非实质性偏离：非实质性偏差不影响投标文件的有效性。以下情况属于非实质性偏差：1.文字表述的内容含义不明确的；2.同类问题表述不一致的；3.有明显文字和计算错误的；4.提供的技术信息和资料不完整的；5.评标委员会认定的其他非实质性偏差。 三、中小企业判定：是否属于中小企业，供应商按《政府采购促进中小企业发展管理办法》（财库〔2020〕46号）和《统计上大中小微型企业划分办法（2017）》（国统字﹝2017﹞213号）其他未列明行业划型标准判定，并承担责任。如判定原则与第五章不一致的，以此为准。 四、投标人也可以采用保函（银行或担保公司出具的）形式交纳投标保证金。采用保函的,投标人需在投标截止时间前将保函递交代理机构并换取收据,并将收据扫描件作为保证金的交纳凭证上传至交易系统。 五、本文件中供应商也称投标人，采购文件也称招标文件。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 1.投标文件封面。 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合同签订后1年</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★号内容</w:t>
            </w:r>
          </w:p>
        </w:tc>
        <w:tc>
          <w:tcPr>
            <w:tcW w:type="dxa" w:w="3322"/>
          </w:tcPr>
          <w:p>
            <w:pPr>
              <w:pStyle w:val="null3"/>
            </w:pPr>
            <w:r>
              <w:rPr>
                <w:rFonts w:ascii="仿宋_GB2312" w:hAnsi="仿宋_GB2312" w:cs="仿宋_GB2312" w:eastAsia="仿宋_GB2312"/>
              </w:rPr>
              <w:t>完全响应无负偏离</w:t>
            </w:r>
          </w:p>
        </w:tc>
        <w:tc>
          <w:tcPr>
            <w:tcW w:type="dxa" w:w="1661"/>
          </w:tcPr>
          <w:p>
            <w:pPr>
              <w:pStyle w:val="null3"/>
            </w:pPr>
            <w:r>
              <w:rPr>
                <w:rFonts w:ascii="仿宋_GB2312" w:hAnsi="仿宋_GB2312" w:cs="仿宋_GB2312" w:eastAsia="仿宋_GB2312"/>
              </w:rPr>
              <w:t>★号内容响应偏离表.docx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服务期间场地保障（含营院租赁、水电燃气、营区维护改造）、装备管理（含托管装备）与训练、餐饮保障、人身意外保险、人员工资（含五险一金）、遂行救援任务等费用由中标人承担，并对经费使用合规性负责，配合采购人做好项目审计。 2.中标人在该项目服务期间需承担为本项目提供服务队员的安全保障义务，购买人身意外保险，依法缴纳五险一金，承担救援队员日常医疗、工伤认定与赔付。落实工亡、伤残抚恤。引起的人事关系、劳动关系、薪资关系等问题由中标人负责。 3.中标人需在中标后15个工作日内，向采购人提供满足需求的110名救援队员、场地、装备供采购人查验。如中标人事先未征得采购方同意并得到采购方的谅解而单方面延迟交付，每延期一天，应向采购人支付合同额0.1%的违约金；延期超过15天，视为自动放弃中标资格。 4.采购人每季度开展1次考核，重点核查人员稳定性、装备完好率、应急响应速度、救援任务完成质量；年度考核结果作为尾款支付的主要依据，考核不合格每1次扣减年度服务费0.5%，连续2次不合格采购人可终止合同。 5.合同签订后，达到付款条件起10 日内，支付合同总金额的 40%；服务期满2个季度，达到付款条件起 10 日内，支付合同总金额的 40%；服务期满3个季度，达到付款条件起 10 日内，支付合同总金额的 20%。</w:t>
            </w:r>
          </w:p>
        </w:tc>
        <w:tc>
          <w:tcPr>
            <w:tcW w:type="dxa" w:w="1661"/>
          </w:tcPr>
          <w:p>
            <w:pPr>
              <w:pStyle w:val="null3"/>
            </w:pPr>
            <w:r>
              <w:rPr>
                <w:rFonts w:ascii="仿宋_GB2312" w:hAnsi="仿宋_GB2312" w:cs="仿宋_GB2312" w:eastAsia="仿宋_GB2312"/>
              </w:rPr>
              <w:t>主要商务条款响应偏离表.docx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应根据采购需求和自身经验提供服务方案，内容包括但不限于①服务定位和目标②服务内容③服务方式④服务标准⑤调度指挥体系等。内容详细，链条完整，措施具体，能较好的实现项目目标，得10分，每缺少一项扣2分，每项中每有一处缺陷扣0.5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驻地解决方案</w:t>
            </w:r>
          </w:p>
        </w:tc>
        <w:tc>
          <w:tcPr>
            <w:tcW w:type="dxa" w:w="2492"/>
          </w:tcPr>
          <w:p>
            <w:pPr>
              <w:pStyle w:val="null3"/>
            </w:pPr>
            <w:r>
              <w:rPr>
                <w:rFonts w:ascii="仿宋_GB2312" w:hAnsi="仿宋_GB2312" w:cs="仿宋_GB2312" w:eastAsia="仿宋_GB2312"/>
              </w:rPr>
              <w:t>投标人应根据采购需求和自身经验提供驻地、装备解决方案，内容包括但不限于①驻地筛选、驻地功能配套、驻地交付措施②训练装备配备。驻地选择思路清晰，实施计划明确，内部设施和训练装备配置完善，满足项目要求、能较好的实现项目目标，得3分，每缺少一项扣1.5分，每项中每有一处缺陷扣0.5分，扣完为止；提供已有且满足要求的驻地产权证明的得2分；本项最高得5分。注：①需提供拟定驻地（或已有驻地）的相关资料，包括但不限于区位图、现场照片等，未提供本大项（5分）不得分。②产权证明不限于土地证、租赁合同、租赁协议等。注：“缺陷”表述同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驻地解决方案.docx</w:t>
            </w:r>
          </w:p>
        </w:tc>
      </w:tr>
      <w:tr>
        <w:tc>
          <w:tcPr>
            <w:tcW w:type="dxa" w:w="831"/>
            <w:vMerge/>
          </w:tcPr>
          <w:p/>
        </w:tc>
        <w:tc>
          <w:tcPr>
            <w:tcW w:type="dxa" w:w="1661"/>
          </w:tcPr>
          <w:p>
            <w:pPr>
              <w:pStyle w:val="null3"/>
            </w:pPr>
            <w:r>
              <w:rPr>
                <w:rFonts w:ascii="仿宋_GB2312" w:hAnsi="仿宋_GB2312" w:cs="仿宋_GB2312" w:eastAsia="仿宋_GB2312"/>
              </w:rPr>
              <w:t>队伍建设方案</w:t>
            </w:r>
          </w:p>
        </w:tc>
        <w:tc>
          <w:tcPr>
            <w:tcW w:type="dxa" w:w="2492"/>
          </w:tcPr>
          <w:p>
            <w:pPr>
              <w:pStyle w:val="null3"/>
            </w:pPr>
            <w:r>
              <w:rPr>
                <w:rFonts w:ascii="仿宋_GB2312" w:hAnsi="仿宋_GB2312" w:cs="仿宋_GB2312" w:eastAsia="仿宋_GB2312"/>
              </w:rPr>
              <w:t>投标人应根据采购需求和自身经验提供队伍建设解决方案，内容包括但不限于①队伍组建计划和方式②岗位设置③技能训练④备勤率保证措施⑤薪资待遇以及伤残抚恤等。方案完整，内容详细，标准明确，措施具体，能较好的实现项目目标，得10分，每缺少一项扣2分，每项中每有一处缺陷扣0.5分，扣完为止。 注：“缺陷”表述同前。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队伍建设方案.docx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应根据采购需求和自身经验提供管理方案，内容包括但不限于①组织制度②值班制度③考勤制度④装备管理制度⑤内务制度⑥安全制度⑦训练演练制度⑧预案管理制度⑨保密制度等。内容详细，链条完整，标准明确，措施具体，能较好的实现项目目标，得18分，每缺少一项扣2分，每项中每有一处缺陷扣0.5分，扣完为止。 注：“缺陷”表述同前。</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1.投标人每提供1台/套现有符合招标文件的救援装备（全站仪、普通挖掘机、装载机、救援抢险运输车、生命探测仪、多功能排水机器人、水陆两栖挖掘机、履带式推土机、冲锋舟、水陆两栖全地形应急救援车、移动式自发电照明灯、多功能气体分析化验车、大口径救援钻机（垂直）、化学洗消车、模块化应急保障装备）得1分，最高10分。注：①需要提供装备清单、技术参数及产权证明材料。自有的提供不限于购置发票、或上级单位调拨单；租赁的提供出租方的购置发票和租赁协议；参数证明材料不限于装备铭牌照片、手册、产品说明书等。②每种装备只计算1次。 2.投标人每提供1名现有符合招标文件的指挥管理人员（具有3年（含）以上工程施工或救援工作经历，且至少持有有效的工程类证书、挖掘机操作证、推土机操作证、救援员证、测量员证、A1、A2驾驶证等任意一种证书的人员）得1分，最高10分。注：需要提供人员身份证、投标截止时间前六个月内任意一个月投标人为其缴纳社保的证明、证书，工作经历以简历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投标人实力.docx</w:t>
            </w:r>
          </w:p>
        </w:tc>
      </w:tr>
      <w:tr>
        <w:tc>
          <w:tcPr>
            <w:tcW w:type="dxa" w:w="831"/>
            <w:vMerge/>
          </w:tcPr>
          <w:p/>
        </w:tc>
        <w:tc>
          <w:tcPr>
            <w:tcW w:type="dxa" w:w="1661"/>
          </w:tcPr>
          <w:p>
            <w:pPr>
              <w:pStyle w:val="null3"/>
            </w:pPr>
            <w:r>
              <w:rPr>
                <w:rFonts w:ascii="仿宋_GB2312" w:hAnsi="仿宋_GB2312" w:cs="仿宋_GB2312" w:eastAsia="仿宋_GB2312"/>
              </w:rPr>
              <w:t>救援响应方案</w:t>
            </w:r>
          </w:p>
        </w:tc>
        <w:tc>
          <w:tcPr>
            <w:tcW w:type="dxa" w:w="2492"/>
          </w:tcPr>
          <w:p>
            <w:pPr>
              <w:pStyle w:val="null3"/>
            </w:pPr>
            <w:r>
              <w:rPr>
                <w:rFonts w:ascii="仿宋_GB2312" w:hAnsi="仿宋_GB2312" w:cs="仿宋_GB2312" w:eastAsia="仿宋_GB2312"/>
              </w:rPr>
              <w:t>投标人应根据采购需求和自身经验提供救援响应方案，内容包括但不限于①工程救援②水域救援③矿山隧道救援④危险化学品事故处置⑤山地、绳索等特种行业救援领域等。救援规程规范，实施链条完整，措施具体，内容详细，可行性强，得15分，每缺少一项扣3分，每项中每有一项缺陷扣1分，扣完为止。注：“缺陷”表述同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救援响应方案.docx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根据投标人2020年1月1日至今参与的救援业绩赋分： 1.参与省级以上救援任务的，每提供1份得3分。 2.参与市级救援任务的，每提供1份得2分。 3.参与县级及其他救援任务的，每提供1份得1分。 注：需提供相关证明材料，不限于 媒体报道、县级以上政府相关部门的表彰等。证明材料不清晰或无法证明的，评标委员会有权不予认定。</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10分。注：计算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详见附件：★号内容响应偏离表.docx</w:t>
      </w:r>
    </w:p>
    <w:p>
      <w:pPr>
        <w:pStyle w:val="null3"/>
        <w:ind w:firstLine="960"/>
      </w:pPr>
      <w:r>
        <w:rPr>
          <w:rFonts w:ascii="仿宋_GB2312" w:hAnsi="仿宋_GB2312" w:cs="仿宋_GB2312" w:eastAsia="仿宋_GB2312"/>
        </w:rPr>
        <w:t>详见附件：队伍建设方案.docx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详见附件：救援响应方案.docx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详见附件：驻地解决方案.docx</w:t>
      </w:r>
    </w:p>
    <w:p>
      <w:pPr>
        <w:pStyle w:val="null3"/>
        <w:ind w:firstLine="960"/>
      </w:pPr>
      <w:r>
        <w:rPr>
          <w:rFonts w:ascii="仿宋_GB2312" w:hAnsi="仿宋_GB2312" w:cs="仿宋_GB2312" w:eastAsia="仿宋_GB2312"/>
        </w:rPr>
        <w:t>详见附件：投标人实力.docx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