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40647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  <w:t>★号内容响应偏离表</w:t>
      </w:r>
    </w:p>
    <w:tbl>
      <w:tblPr>
        <w:tblStyle w:val="8"/>
        <w:tblW w:w="49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6733"/>
        <w:gridCol w:w="1555"/>
      </w:tblGrid>
      <w:tr w14:paraId="085887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3F2A53B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3499" w:type="pct"/>
            <w:tcBorders>
              <w:tl2br w:val="nil"/>
              <w:tr2bl w:val="nil"/>
            </w:tcBorders>
            <w:vAlign w:val="center"/>
          </w:tcPr>
          <w:p w14:paraId="7405B49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  <w:t>招标文件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★号内容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  <w:t>要求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506F232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偏离说明</w:t>
            </w:r>
          </w:p>
        </w:tc>
      </w:tr>
      <w:tr w14:paraId="785ECF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2522E967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499" w:type="pct"/>
            <w:tcBorders>
              <w:tl2br w:val="nil"/>
              <w:tr2bl w:val="nil"/>
            </w:tcBorders>
            <w:vAlign w:val="center"/>
          </w:tcPr>
          <w:p w14:paraId="3D670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中标人提供的队伍需按照准军事化管理和24小时战备值班要求，实行队伍领导带班制度。平常时段战备值班备勤率60%；重要时段（汛期、队伍前置驻防等）值班备勤率80%；特殊时段值班备勤率95%。</w:t>
            </w:r>
          </w:p>
        </w:tc>
        <w:tc>
          <w:tcPr>
            <w:tcW w:w="808" w:type="pct"/>
            <w:tcBorders>
              <w:tl2br w:val="nil"/>
              <w:tr2bl w:val="nil"/>
            </w:tcBorders>
          </w:tcPr>
          <w:p w14:paraId="6F907C0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087BE8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3E8B165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499" w:type="pct"/>
            <w:tcBorders>
              <w:tl2br w:val="nil"/>
              <w:tr2bl w:val="nil"/>
            </w:tcBorders>
            <w:vAlign w:val="center"/>
          </w:tcPr>
          <w:p w14:paraId="4F7E5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队伍需服从采购人的统一调度指令，采购人作为指挥主体，拥有任务发起、指令下达、任务调整、任务终止权限。接到采购人指令后，中标人拥有内部组织、指挥权。若救援现场出现危及队员生命安全的突发情况，中标人拥有紧急撤离权。中标人救援全程需向采购人实时反馈进展。</w:t>
            </w:r>
          </w:p>
        </w:tc>
        <w:tc>
          <w:tcPr>
            <w:tcW w:w="808" w:type="pct"/>
            <w:tcBorders>
              <w:tl2br w:val="nil"/>
              <w:tr2bl w:val="nil"/>
            </w:tcBorders>
          </w:tcPr>
          <w:p w14:paraId="64E380A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6F9063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068AC797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499" w:type="pct"/>
            <w:tcBorders>
              <w:tl2br w:val="nil"/>
              <w:tr2bl w:val="nil"/>
            </w:tcBorders>
            <w:vAlign w:val="center"/>
          </w:tcPr>
          <w:p w14:paraId="3B825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接到任务后，需按应急救援要求完成出动响应。接令、集结、出发确认时效≤1小时（重型装备≤2小时）；正常情况下，省内100公里范围内3小时内到达事故现场；省内100-300公里范围内6小时内到达事故现场；省内300公里以上12小时内到达事故现场。遇特殊情况导致出动延误，应及时报备，并尽快抵达现场。</w:t>
            </w:r>
          </w:p>
        </w:tc>
        <w:tc>
          <w:tcPr>
            <w:tcW w:w="808" w:type="pct"/>
            <w:tcBorders>
              <w:tl2br w:val="nil"/>
              <w:tr2bl w:val="nil"/>
            </w:tcBorders>
          </w:tcPr>
          <w:p w14:paraId="0392469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01BC98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00C5EB68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499" w:type="pct"/>
            <w:tcBorders>
              <w:tl2br w:val="nil"/>
              <w:tr2bl w:val="nil"/>
            </w:tcBorders>
            <w:vAlign w:val="center"/>
          </w:tcPr>
          <w:p w14:paraId="77A94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中标人达到现场后，需按照救援规程，指挥队伍参加应急救援。任务类型主要包括：全省范围内‌地震、地质灾害、洪涝、森林草原火灾等自然灾害领域；矿山隧道、危险化学品和特种行业等安全生产领域各类专业应急救援任务；采购人下达的其他应急救援任务。</w:t>
            </w:r>
          </w:p>
        </w:tc>
        <w:tc>
          <w:tcPr>
            <w:tcW w:w="808" w:type="pct"/>
            <w:tcBorders>
              <w:tl2br w:val="nil"/>
              <w:tr2bl w:val="nil"/>
            </w:tcBorders>
          </w:tcPr>
          <w:p w14:paraId="611EF86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015B30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92" w:type="pct"/>
            <w:tcBorders>
              <w:tl2br w:val="nil"/>
              <w:tr2bl w:val="nil"/>
            </w:tcBorders>
            <w:vAlign w:val="center"/>
          </w:tcPr>
          <w:p w14:paraId="0831F39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499" w:type="pct"/>
            <w:tcBorders>
              <w:tl2br w:val="nil"/>
              <w:tr2bl w:val="nil"/>
            </w:tcBorders>
            <w:vAlign w:val="center"/>
          </w:tcPr>
          <w:p w14:paraId="6AE6B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提供服务的队员和车辆、物资装备等需向采购人报备管理；未经采购人许可，不得私自调动外出参加其他救援任务、商业活动或其他活动；不得出租、出借、出让托管的装备；不得以“陕西省专业应急救援总队”等名义接待任何外来单位或人员。</w:t>
            </w:r>
          </w:p>
        </w:tc>
        <w:tc>
          <w:tcPr>
            <w:tcW w:w="808" w:type="pct"/>
            <w:tcBorders>
              <w:tl2br w:val="nil"/>
              <w:tr2bl w:val="nil"/>
            </w:tcBorders>
          </w:tcPr>
          <w:p w14:paraId="70779CA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1A7A147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  <w:t>说明：</w:t>
      </w:r>
    </w:p>
    <w:p w14:paraId="3986586F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</w:p>
    <w:p w14:paraId="4182A333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  <w:t>2.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val="en-US" w:eastAsia="zh-CN"/>
        </w:rPr>
        <w:t>★号内容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  <w:t>不允许负偏离（低于）。</w:t>
      </w:r>
    </w:p>
    <w:p w14:paraId="532433A7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</w:pPr>
    </w:p>
    <w:p w14:paraId="30A12245">
      <w:pP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eastAsia="zh-CN"/>
        </w:rPr>
        <w:t>：（盖公章）</w:t>
      </w:r>
    </w:p>
    <w:p w14:paraId="3C5296CB"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bookmarkStart w:id="0" w:name="_GoBack"/>
      <w:bookmarkEnd w:id="0"/>
    </w:p>
    <w:p w14:paraId="59320440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2777BFD"/>
    <w:rsid w:val="0442423B"/>
    <w:rsid w:val="067B57E2"/>
    <w:rsid w:val="09C70C05"/>
    <w:rsid w:val="0A6B5B3E"/>
    <w:rsid w:val="0B786794"/>
    <w:rsid w:val="11FC011F"/>
    <w:rsid w:val="156D36FD"/>
    <w:rsid w:val="192D0BBE"/>
    <w:rsid w:val="1C1E6EE4"/>
    <w:rsid w:val="22C7696B"/>
    <w:rsid w:val="25FB6A13"/>
    <w:rsid w:val="29846D8E"/>
    <w:rsid w:val="2AC60E73"/>
    <w:rsid w:val="31411253"/>
    <w:rsid w:val="3257389C"/>
    <w:rsid w:val="33C16303"/>
    <w:rsid w:val="38706912"/>
    <w:rsid w:val="39047736"/>
    <w:rsid w:val="3FF9428E"/>
    <w:rsid w:val="44B32010"/>
    <w:rsid w:val="461D1C28"/>
    <w:rsid w:val="4D1368CF"/>
    <w:rsid w:val="5481728A"/>
    <w:rsid w:val="752D4185"/>
    <w:rsid w:val="78A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4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602</Words>
  <Characters>623</Characters>
  <Lines>0</Lines>
  <Paragraphs>0</Paragraphs>
  <TotalTime>0</TotalTime>
  <ScaleCrop>false</ScaleCrop>
  <LinksUpToDate>false</LinksUpToDate>
  <CharactersWithSpaces>631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2025-09-28T09:33:38Z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2969973DEA0041C0A58877740E3109A0_13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