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版本号：THZC-202509280220250929001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2025林恢（其他自然保护和野生植物保护）野生动植物保护（委托业务）项目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THZC-2025092802</w:t>
      </w:r>
      <w:r>
        <w:br/>
      </w:r>
      <w:r>
        <w:br/>
      </w:r>
      <w:r>
        <w:br/>
      </w:r>
    </w:p>
    <w:p>
      <w:pPr>
        <w:pStyle w:val="null3"/>
        <w:jc w:val="center"/>
        <w:outlineLvl w:val="2"/>
      </w:pPr>
      <w:r>
        <w:rPr>
          <w:rFonts w:ascii="仿宋_GB2312" w:hAnsi="仿宋_GB2312" w:cs="仿宋_GB2312" w:eastAsia="仿宋_GB2312"/>
          <w:sz w:val="28"/>
          <w:b/>
        </w:rPr>
        <w:t>秦岭国家植物园</w:t>
      </w:r>
    </w:p>
    <w:p>
      <w:pPr>
        <w:pStyle w:val="null3"/>
        <w:jc w:val="center"/>
        <w:outlineLvl w:val="2"/>
      </w:pPr>
      <w:r>
        <w:rPr>
          <w:rFonts w:ascii="仿宋_GB2312" w:hAnsi="仿宋_GB2312" w:cs="仿宋_GB2312" w:eastAsia="仿宋_GB2312"/>
          <w:sz w:val="28"/>
          <w:b/>
        </w:rPr>
        <w:t>西安天合建设项目管理有限公司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西安天合建设项目管理有限公司</w:t>
      </w:r>
      <w:r>
        <w:rPr>
          <w:rFonts w:ascii="仿宋_GB2312" w:hAnsi="仿宋_GB2312" w:cs="仿宋_GB2312" w:eastAsia="仿宋_GB2312"/>
        </w:rPr>
        <w:t>（以下简称“代理机构”）受</w:t>
      </w:r>
      <w:r>
        <w:rPr>
          <w:rFonts w:ascii="仿宋_GB2312" w:hAnsi="仿宋_GB2312" w:cs="仿宋_GB2312" w:eastAsia="仿宋_GB2312"/>
        </w:rPr>
        <w:t>秦岭国家植物园</w:t>
      </w:r>
      <w:r>
        <w:rPr>
          <w:rFonts w:ascii="仿宋_GB2312" w:hAnsi="仿宋_GB2312" w:cs="仿宋_GB2312" w:eastAsia="仿宋_GB2312"/>
        </w:rPr>
        <w:t>委托，拟对</w:t>
      </w:r>
      <w:r>
        <w:rPr>
          <w:rFonts w:ascii="仿宋_GB2312" w:hAnsi="仿宋_GB2312" w:cs="仿宋_GB2312" w:eastAsia="仿宋_GB2312"/>
        </w:rPr>
        <w:t>2025林恢（其他自然保护和野生植物保护）野生动植物保护（委托业务）项目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THZC-2025092802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2025林恢（其他自然保护和野生植物保护）野生动植物保护（委托业务）项目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野外调查需要租赁车辆5辆，开展为期100天的野外调查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采购包1（2025林恢（其他自然保护和野生植物保护）野生动植物保护（委托业务）项目）：属于专门面向中小企业采购。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 授权书；法定代表人（主要负责人）亲自参加投标时，应提供法定代表人（主要负责人）身 份证明书。</w:t>
      </w:r>
    </w:p>
    <w:p>
      <w:pPr>
        <w:pStyle w:val="null3"/>
      </w:pPr>
      <w:r>
        <w:rPr>
          <w:rFonts w:ascii="仿宋_GB2312" w:hAnsi="仿宋_GB2312" w:cs="仿宋_GB2312" w:eastAsia="仿宋_GB2312"/>
        </w:rPr>
        <w:t>2、信用记录：投标人未被列入《信用中国》或《中国执行信息公开网》失信被执行人名单、重大税收违法失信主体、政府采购严重违法失信名单和《中国政府采购网》政府采购严重违法失信行为记录名单。以现场查询的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秦岭国家植物园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02987907108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西安天合建设项目管理有限公司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陕西省西安市未央区西安经济技术开发区凤城七路长和国际B座23层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18292014253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代理服务费收费标准：本项目招标代理服务费参照国家计委颁发的《招标代理服务收费管理暂 行办法》（计价格[2002]1980号）和国家发展改革委员会办公厅颁发的《关于招标代理服务收 费有关问题的通知》（发改办价格[2003]857号）的有关规定标准，以实际成交金额按服务类标准收取。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秦岭国家植物园</w:t>
      </w:r>
      <w:r>
        <w:rPr>
          <w:rFonts w:ascii="仿宋_GB2312" w:hAnsi="仿宋_GB2312" w:cs="仿宋_GB2312" w:eastAsia="仿宋_GB2312"/>
        </w:rPr>
        <w:t>和</w:t>
      </w:r>
      <w:r>
        <w:rPr>
          <w:rFonts w:ascii="仿宋_GB2312" w:hAnsi="仿宋_GB2312" w:cs="仿宋_GB2312" w:eastAsia="仿宋_GB2312"/>
        </w:rPr>
        <w:t>西安天合建设项目管理有限公司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秦岭国家植物园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西安天合建设项目管理有限公司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秦岭国家植物园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西安天合建设项目管理有限公司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联系电话：18292014253</w:t>
      </w:r>
    </w:p>
    <w:p>
      <w:pPr>
        <w:pStyle w:val="null3"/>
      </w:pPr>
      <w:r>
        <w:rPr>
          <w:rFonts w:ascii="仿宋_GB2312" w:hAnsi="仿宋_GB2312" w:cs="仿宋_GB2312" w:eastAsia="仿宋_GB2312"/>
        </w:rPr>
        <w:t>地址：陕西省西安市未央区西安经济技术开发区凤城七路长和国际B座23层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主要功能或目标:用于野生植物保护野外调查。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424,000.00</w:t>
      </w:r>
    </w:p>
    <w:p>
      <w:pPr>
        <w:pStyle w:val="null3"/>
      </w:pPr>
      <w:r>
        <w:rPr>
          <w:rFonts w:ascii="仿宋_GB2312" w:hAnsi="仿宋_GB2312" w:cs="仿宋_GB2312" w:eastAsia="仿宋_GB2312"/>
        </w:rPr>
        <w:t>采购包最高限价（元）: 424,000.00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2025林恢（其他自然保护和野生植物保护）秦岭国家植物园野生动植物保护（委托业务）项目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标的名称：2025林恢（其他自然保护和野生植物保护）秦岭国家植物园野生动植物保护（委托业务）项目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野外调查需要租赁车辆5辆，开展为期100天的野外调查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服务期：一年（具体节点以采购人要求为准）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乙方完成项目全部工作并通过验收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 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应按照国家、行业规定及采购人要求完成本项目全部工作内容。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 业服务机构执业许可证等； 2）提交投标文件截止时间前一年内至少一个月的社会保障资金缴存单据或社保机构开具的社会保险参保缴费情况证明，单据或证明上应有社保机构或代收机构的公章或业务专用章；依法不需要缴纳社会保障资金的应提供相关文件证明。 3）提交投标文件截止时间前一年内至少一个月的纳税证明或完税证明（增值税、营业税、企业所得税至少提供一种），纳税证明或完税证明上应有代收机构或税务机关的公章或业务专用章； 注：①新成立企业（成立一个月内）暂无纳税的提供说明加盖公章，依法免税的应提供相关文件证明。②零报税的提供申报成功的凭证。③时间以税款所属时段为准。 4）参加本次政府采购活动前3年内在经营活动中没有重大违法记录，以及未被列入失信被执行人、重大税收违法案件当事人名单、政府采购严重违法失信行为记录名单的书面声明； 5）提供具有履行本合同所必需的设备和专业技术能力的书面声明。 供应商需在项目电子化交易系统中按要求填写《投标函》完成承诺、上传相应证明文件并进行电子签章。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1）2023年度或2024年度经审计的财务会计报告（至少包括审计报告、资产负债表和利润表，成立时间至提交投标文件截止时间不足一年 的可提供成立后任意时段的资产负债表）； 2）提交投标文件截止时间三个月内其基本账户开 户银行出具的资信证明，提供资信证明的，必须提供资信证明全部页以及基本户信息（提供开户许可证复印件或提供基本银行账户信息复印件加盖公章）。 以上二选一，供应商需在项目电子化交易系统中按要求上传相应证明文件并进行电子签章。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 授权书；法定代表人（主要负责人）亲自参加投标时，应提供法定代表人（主要负责人）身 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或《中国执行信息公开网》失信被执行人名单、重大税收违法失信主体、政府采购严重违法失信名单和《中国政府采购网》政府采购严重违法失信行为记录名单。以现场查询的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 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符合“供应商须知 ”的规定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一年（具体节点以采购人要求为准）</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响应磋商文件中商务主要条款。</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响应文件签字或盖章</w:t>
            </w:r>
          </w:p>
        </w:tc>
        <w:tc>
          <w:tcPr>
            <w:tcW w:type="dxa" w:w="3322"/>
          </w:tcPr>
          <w:p>
            <w:pPr>
              <w:pStyle w:val="null3"/>
            </w:pPr>
            <w:r>
              <w:rPr>
                <w:rFonts w:ascii="仿宋_GB2312" w:hAnsi="仿宋_GB2312" w:cs="仿宋_GB2312" w:eastAsia="仿宋_GB2312"/>
              </w:rPr>
              <w:t>签章均符合文件要求，且无遗漏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能充分理解和掌握采购需求，工作思路清晰，技术服务方案内容完整，相应措施得当，根据响应情况及方案可行性进行评审。 方案内容详尽、完整，可行性强计25分； 方案内容较详尽、完整，具有一定的可行性计20 分； 方案内容基本完整、可行性一般计15分； 方案内容比较简单、可行性较差计10分； 方案内容空洞或存在缺漏项，可行性差，计5分。 未提供本项不得分。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 内容详尽、完整，可行性强计20分； 内容较详尽、完整，具有一定的可行性计15分； 内容基本完整、可行性一般计10分； 内容比较简单、可行性较差计5分； 内容空洞或存在缺漏项，可行性差，计2分。 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根据服务计划安排，提出相应安全保证措施，保证服务期内如期、安全完成本项目全部工作内容。根据响应情况及可行性进行评审。 内容详尽、完整，可行性强计15分； 内容较详尽、完整，具有一定的可行性计12分； 内容基本完整、可行性一般计8分；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对本项目实施过程中的合理化建议，根据建议可行性进行评审。 内容详尽、完整，可行性强计10分； 内容较详尽、完整，具有一定的可行性计8分； 内容基本完整、可行性一般计6分；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商务响应完全满足或优于采购文件要求的得10分，与采购文件要求有非实质性偏离的，每一项扣1分，扣完为止。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针对本项目有详尽、有效的服务措施及相关承诺，具有相应的物力、人力保障，能够保证服务正常运转的根据响应情况， 内容详尽、完整，可行性强计10分； 内容较详尽、完整，具有一定的可行性计8分； 内容基本完整、可行性一般计6分；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评标基准价/投标报价）×价格分值（注：满足招标文件要求且投标价格最低的投标报价为评标基准价。）最低报价不是中标的唯一依据。因落实政府采购政策进行价格调整的，以调整后的价格计算评标基准价和投标报价。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