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CA0CC">
      <w:pPr>
        <w:pStyle w:val="5"/>
        <w:spacing w:before="0" w:after="0"/>
        <w:rPr>
          <w:rFonts w:hint="eastAsia" w:ascii="仿宋" w:hAnsi="仿宋" w:eastAsia="仿宋" w:cs="仿宋"/>
          <w:b w:val="0"/>
          <w:color w:val="auto"/>
          <w:sz w:val="21"/>
          <w:szCs w:val="24"/>
          <w:highlight w:val="none"/>
        </w:rPr>
      </w:pPr>
      <w:bookmarkStart w:id="0" w:name="_Toc29671"/>
      <w:bookmarkStart w:id="1" w:name="_Toc24610"/>
      <w:bookmarkStart w:id="2" w:name="_Toc27196"/>
      <w:bookmarkStart w:id="3" w:name="_Toc19082"/>
      <w:bookmarkStart w:id="4" w:name="_Toc17950"/>
      <w:bookmarkStart w:id="5" w:name="_Toc29152"/>
      <w:bookmarkStart w:id="6" w:name="_Toc18612"/>
      <w:r>
        <w:rPr>
          <w:rFonts w:hint="eastAsia" w:ascii="仿宋" w:hAnsi="仿宋" w:eastAsia="仿宋" w:cs="仿宋"/>
          <w:color w:val="auto"/>
          <w:highlight w:val="none"/>
        </w:rPr>
        <w:t>政府采购合同</w:t>
      </w:r>
      <w:bookmarkEnd w:id="0"/>
      <w:bookmarkEnd w:id="1"/>
      <w:bookmarkEnd w:id="2"/>
      <w:bookmarkEnd w:id="3"/>
      <w:bookmarkEnd w:id="4"/>
      <w:bookmarkEnd w:id="5"/>
      <w:bookmarkEnd w:id="6"/>
    </w:p>
    <w:p w14:paraId="77A9BCDB">
      <w:pPr>
        <w:rPr>
          <w:rFonts w:hint="eastAsia" w:ascii="仿宋" w:hAnsi="仿宋" w:eastAsia="仿宋" w:cs="仿宋"/>
          <w:color w:val="auto"/>
          <w:highlight w:val="none"/>
          <w:lang w:bidi="ar"/>
        </w:rPr>
      </w:pPr>
    </w:p>
    <w:p w14:paraId="35A3BC02">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甲方：</w:t>
      </w:r>
      <w:r>
        <w:rPr>
          <w:rFonts w:hint="eastAsia" w:ascii="仿宋" w:hAnsi="仿宋" w:eastAsia="仿宋" w:cs="仿宋"/>
          <w:b/>
          <w:color w:val="auto"/>
          <w:sz w:val="22"/>
          <w:szCs w:val="22"/>
          <w:highlight w:val="none"/>
          <w:u w:val="single"/>
          <w:lang w:bidi="ar"/>
        </w:rPr>
        <w:t>陕西省道路运输事业发展中心</w:t>
      </w:r>
    </w:p>
    <w:p w14:paraId="0C933A26">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乙方：</w:t>
      </w:r>
      <w:r>
        <w:rPr>
          <w:rFonts w:hint="eastAsia" w:ascii="仿宋" w:hAnsi="仿宋" w:eastAsia="仿宋" w:cs="仿宋"/>
          <w:b/>
          <w:color w:val="auto"/>
          <w:sz w:val="22"/>
          <w:szCs w:val="22"/>
          <w:highlight w:val="none"/>
          <w:u w:val="single"/>
          <w:lang w:bidi="ar"/>
        </w:rPr>
        <w:t>（成交供应商名称）</w:t>
      </w:r>
    </w:p>
    <w:p w14:paraId="7BADB36F">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根据《中华人民共和国民法典》、《中华人民共和国政府采购法》、《中华人民共和国政府采购法实施条例》及国家有关法律和行政法规，遵循平等、自愿和诚实信用的原则，双方就</w:t>
      </w:r>
      <w:r>
        <w:rPr>
          <w:rFonts w:hint="eastAsia" w:ascii="仿宋" w:hAnsi="仿宋" w:eastAsia="仿宋" w:cs="仿宋"/>
          <w:b/>
          <w:bCs/>
          <w:color w:val="auto"/>
          <w:sz w:val="22"/>
          <w:szCs w:val="22"/>
          <w:highlight w:val="none"/>
          <w:u w:val="single"/>
          <w:lang w:eastAsia="zh-CN" w:bidi="ar"/>
        </w:rPr>
        <w:t>陕西省道路货运能源消费和碳排放强度摸底排查工作</w:t>
      </w:r>
      <w:r>
        <w:rPr>
          <w:rFonts w:hint="eastAsia" w:ascii="仿宋" w:hAnsi="仿宋" w:eastAsia="仿宋" w:cs="仿宋"/>
          <w:color w:val="auto"/>
          <w:sz w:val="22"/>
          <w:szCs w:val="22"/>
          <w:highlight w:val="none"/>
          <w:lang w:bidi="ar"/>
        </w:rPr>
        <w:t>采购项目，订立服务合同。</w:t>
      </w:r>
    </w:p>
    <w:p w14:paraId="7BD97C14">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一、合同内容及技术要求</w:t>
      </w:r>
    </w:p>
    <w:p w14:paraId="1110FC0C">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1.合同内容及技术要求（即交付的服务与磋商响应文件所指明的服务内容及分项相一致）。</w:t>
      </w:r>
    </w:p>
    <w:p w14:paraId="15A080EF">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二、合同金额</w:t>
      </w:r>
    </w:p>
    <w:p w14:paraId="15477644">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color w:val="auto"/>
          <w:sz w:val="22"/>
          <w:szCs w:val="22"/>
          <w:highlight w:val="none"/>
          <w:lang w:bidi="ar"/>
        </w:rPr>
      </w:pPr>
      <w:r>
        <w:rPr>
          <w:rFonts w:hint="eastAsia" w:ascii="仿宋" w:hAnsi="仿宋" w:eastAsia="仿宋" w:cs="仿宋"/>
          <w:color w:val="auto"/>
          <w:sz w:val="22"/>
          <w:szCs w:val="22"/>
          <w:highlight w:val="none"/>
          <w:lang w:bidi="ar"/>
        </w:rPr>
        <w:t>合同</w:t>
      </w:r>
      <w:bookmarkStart w:id="7" w:name="_Hlk14421743"/>
      <w:r>
        <w:rPr>
          <w:rFonts w:hint="eastAsia" w:ascii="仿宋" w:hAnsi="仿宋" w:eastAsia="仿宋" w:cs="仿宋"/>
          <w:color w:val="auto"/>
          <w:sz w:val="22"/>
          <w:szCs w:val="22"/>
          <w:highlight w:val="none"/>
          <w:lang w:bidi="ar"/>
        </w:rPr>
        <w:t>含税总金额</w:t>
      </w:r>
      <w:bookmarkEnd w:id="7"/>
      <w:r>
        <w:rPr>
          <w:rFonts w:hint="eastAsia" w:ascii="仿宋" w:hAnsi="仿宋" w:eastAsia="仿宋" w:cs="仿宋"/>
          <w:color w:val="auto"/>
          <w:sz w:val="22"/>
          <w:szCs w:val="22"/>
          <w:highlight w:val="none"/>
          <w:lang w:bidi="ar"/>
        </w:rPr>
        <w:t>：即成交总金额（大写）：</w:t>
      </w:r>
      <w:r>
        <w:rPr>
          <w:rFonts w:hint="eastAsia" w:ascii="仿宋" w:hAnsi="仿宋" w:eastAsia="仿宋" w:cs="仿宋"/>
          <w:color w:val="auto"/>
          <w:sz w:val="22"/>
          <w:szCs w:val="22"/>
          <w:highlight w:val="none"/>
          <w:lang w:val="en-US" w:eastAsia="zh-CN" w:bidi="ar"/>
        </w:rPr>
        <w:t xml:space="preserve">              </w:t>
      </w:r>
      <w:r>
        <w:rPr>
          <w:rFonts w:hint="eastAsia" w:ascii="仿宋" w:hAnsi="仿宋" w:eastAsia="仿宋" w:cs="仿宋"/>
          <w:color w:val="auto"/>
          <w:sz w:val="22"/>
          <w:szCs w:val="22"/>
          <w:highlight w:val="none"/>
          <w:lang w:bidi="ar"/>
        </w:rPr>
        <w:t>（小写：</w:t>
      </w:r>
      <w:r>
        <w:rPr>
          <w:rFonts w:hint="eastAsia" w:ascii="仿宋" w:hAnsi="仿宋" w:eastAsia="仿宋" w:cs="仿宋"/>
          <w:color w:val="auto"/>
          <w:sz w:val="22"/>
          <w:szCs w:val="22"/>
          <w:highlight w:val="none"/>
          <w:lang w:val="en-US" w:eastAsia="zh-CN" w:bidi="ar"/>
        </w:rPr>
        <w:t xml:space="preserve">         </w:t>
      </w:r>
      <w:r>
        <w:rPr>
          <w:rFonts w:hint="eastAsia" w:ascii="仿宋" w:hAnsi="仿宋" w:eastAsia="仿宋" w:cs="仿宋"/>
          <w:color w:val="auto"/>
          <w:sz w:val="22"/>
          <w:szCs w:val="22"/>
          <w:highlight w:val="none"/>
          <w:lang w:bidi="ar"/>
        </w:rPr>
        <w:t xml:space="preserve"> ）。</w:t>
      </w:r>
    </w:p>
    <w:p w14:paraId="762500BA">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三、知识产权：甲方对本合同履行期间产生的成果（包括乙方交付的全部成果以及本合同履行过程中产生的技术文件）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w:t>
      </w:r>
      <w:r>
        <w:rPr>
          <w:rFonts w:hint="eastAsia" w:ascii="仿宋" w:hAnsi="仿宋" w:eastAsia="仿宋" w:cs="仿宋"/>
          <w:b/>
          <w:bCs/>
          <w:color w:val="auto"/>
          <w:sz w:val="22"/>
          <w:szCs w:val="22"/>
          <w:highlight w:val="none"/>
          <w:lang w:eastAsia="zh-CN" w:bidi="ar"/>
        </w:rPr>
        <w:t>。</w:t>
      </w:r>
      <w:r>
        <w:rPr>
          <w:rFonts w:hint="eastAsia" w:ascii="仿宋" w:hAnsi="仿宋" w:eastAsia="仿宋" w:cs="仿宋"/>
          <w:b/>
          <w:bCs/>
          <w:color w:val="auto"/>
          <w:sz w:val="22"/>
          <w:szCs w:val="22"/>
          <w:highlight w:val="none"/>
          <w:lang w:bidi="ar"/>
        </w:rPr>
        <w:t>否则，乙方承担相应责任并赔偿甲方损失。</w:t>
      </w:r>
    </w:p>
    <w:p w14:paraId="20E09D4F">
      <w:pPr>
        <w:pStyle w:val="2"/>
        <w:keepNext w:val="0"/>
        <w:keepLines w:val="0"/>
        <w:pageBreakBefore w:val="0"/>
        <w:widowControl/>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四、服务期：</w:t>
      </w:r>
    </w:p>
    <w:p w14:paraId="5405A28F">
      <w:pPr>
        <w:pStyle w:val="2"/>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green"/>
        </w:rPr>
      </w:pPr>
      <w:r>
        <w:rPr>
          <w:rFonts w:hint="eastAsia" w:ascii="仿宋" w:hAnsi="仿宋" w:eastAsia="仿宋" w:cs="仿宋"/>
          <w:color w:val="auto"/>
          <w:sz w:val="22"/>
          <w:szCs w:val="22"/>
          <w:highlight w:val="none"/>
        </w:rPr>
        <w:t>合同服务期：</w:t>
      </w:r>
      <w:r>
        <w:rPr>
          <w:rFonts w:hint="eastAsia" w:ascii="仿宋" w:hAnsi="仿宋" w:eastAsia="仿宋" w:cs="仿宋"/>
          <w:b w:val="0"/>
          <w:bCs w:val="0"/>
          <w:color w:val="auto"/>
          <w:sz w:val="22"/>
          <w:szCs w:val="22"/>
          <w:highlight w:val="none"/>
          <w:lang w:eastAsia="zh-CN"/>
        </w:rPr>
        <w:t>乙方应在60日历天内完成全部工作并通过验收</w:t>
      </w:r>
    </w:p>
    <w:p w14:paraId="17DBD8AF">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eastAsia="zh-CN" w:bidi="ar"/>
        </w:rPr>
      </w:pPr>
      <w:r>
        <w:rPr>
          <w:rFonts w:hint="eastAsia" w:ascii="仿宋" w:hAnsi="仿宋" w:eastAsia="仿宋" w:cs="仿宋"/>
          <w:color w:val="auto"/>
          <w:sz w:val="22"/>
          <w:szCs w:val="22"/>
          <w:highlight w:val="none"/>
          <w:lang w:bidi="ar"/>
        </w:rPr>
        <w:t>乙方未征得甲方书面同意和谅解而单方面延迟服务期，每延迟一天，乙方应按合同总价款的0.5%向甲方支付违约金；延迟超过10天的，甲方有权终止合同，乙方应承担合同总价款30%的违约责任。乙方遇到可能妨碍按时提供服务的情况，应当及时以书面形式通知甲方，说明原由、拖延的期限等；甲方、采购代理机构在收到通知后，尽快进行情况评估并确定是否通过修改合同，酌情延长服务时间或者通过协商加收误期赔偿金</w:t>
      </w:r>
      <w:r>
        <w:rPr>
          <w:rFonts w:hint="eastAsia" w:ascii="仿宋" w:hAnsi="仿宋" w:eastAsia="仿宋" w:cs="仿宋"/>
          <w:color w:val="auto"/>
          <w:sz w:val="22"/>
          <w:szCs w:val="22"/>
          <w:highlight w:val="none"/>
          <w:lang w:eastAsia="zh-CN" w:bidi="ar"/>
        </w:rPr>
        <w:t>。</w:t>
      </w:r>
    </w:p>
    <w:p w14:paraId="61F83DC3">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bidi="ar"/>
        </w:rPr>
        <w:t>五、服务地点：</w:t>
      </w:r>
      <w:r>
        <w:rPr>
          <w:rFonts w:hint="eastAsia" w:ascii="仿宋" w:hAnsi="仿宋" w:eastAsia="仿宋" w:cs="仿宋"/>
          <w:color w:val="auto"/>
          <w:sz w:val="22"/>
          <w:szCs w:val="22"/>
          <w:highlight w:val="none"/>
          <w:lang w:bidi="ar"/>
        </w:rPr>
        <w:t>陕西省道路运输事业发展中心指定地点。</w:t>
      </w:r>
    </w:p>
    <w:p w14:paraId="5E5A85BF">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bidi="ar"/>
        </w:rPr>
        <w:t>六、结算及付款方式：</w:t>
      </w:r>
    </w:p>
    <w:p w14:paraId="2DBF4B14">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（一）结算：乙方持相关手续向甲方申请付款。</w:t>
      </w:r>
    </w:p>
    <w:p w14:paraId="27168AA3">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color w:val="auto"/>
          <w:sz w:val="22"/>
          <w:szCs w:val="22"/>
          <w:highlight w:val="yellow"/>
        </w:rPr>
      </w:pPr>
      <w:r>
        <w:rPr>
          <w:rFonts w:hint="eastAsia" w:ascii="仿宋" w:hAnsi="仿宋" w:eastAsia="仿宋" w:cs="仿宋"/>
          <w:bCs/>
          <w:color w:val="auto"/>
          <w:sz w:val="22"/>
          <w:szCs w:val="22"/>
          <w:highlight w:val="none"/>
          <w:lang w:bidi="ar"/>
        </w:rPr>
        <w:t>（二）付款方式：</w:t>
      </w:r>
    </w:p>
    <w:p w14:paraId="5D4B79B6">
      <w:pPr>
        <w:keepNext w:val="0"/>
        <w:keepLines w:val="0"/>
        <w:pageBreakBefore w:val="0"/>
        <w:numPr>
          <w:ilvl w:val="0"/>
          <w:numId w:val="0"/>
        </w:numPr>
        <w:shd w:val="clear"/>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val="0"/>
          <w:color w:val="auto"/>
          <w:sz w:val="22"/>
          <w:szCs w:val="22"/>
          <w:highlight w:val="none"/>
          <w:lang w:bidi="ar"/>
        </w:rPr>
      </w:pPr>
      <w:r>
        <w:rPr>
          <w:rFonts w:hint="eastAsia" w:ascii="仿宋" w:hAnsi="仿宋" w:eastAsia="仿宋" w:cs="仿宋"/>
          <w:b/>
          <w:bCs w:val="0"/>
          <w:color w:val="auto"/>
          <w:sz w:val="22"/>
          <w:szCs w:val="22"/>
          <w:highlight w:val="none"/>
          <w:lang w:bidi="ar"/>
        </w:rPr>
        <w:t>合同签订前，乙方需先缴纳合同总价款5%履约保证金。履约保证金在验收合格</w:t>
      </w:r>
      <w:r>
        <w:rPr>
          <w:rFonts w:hint="eastAsia" w:ascii="仿宋" w:hAnsi="仿宋" w:eastAsia="仿宋" w:cs="仿宋"/>
          <w:b/>
          <w:bCs w:val="0"/>
          <w:color w:val="auto"/>
          <w:sz w:val="22"/>
          <w:szCs w:val="22"/>
          <w:highlight w:val="none"/>
          <w:lang w:val="en-US" w:eastAsia="zh-CN" w:bidi="ar"/>
        </w:rPr>
        <w:t>并</w:t>
      </w:r>
      <w:r>
        <w:rPr>
          <w:rFonts w:hint="eastAsia" w:ascii="仿宋" w:hAnsi="仿宋" w:eastAsia="仿宋" w:cs="仿宋"/>
          <w:b/>
          <w:bCs w:val="0"/>
          <w:color w:val="auto"/>
          <w:sz w:val="22"/>
          <w:szCs w:val="22"/>
          <w:highlight w:val="none"/>
          <w:lang w:bidi="ar"/>
        </w:rPr>
        <w:t>提供《</w:t>
      </w:r>
      <w:r>
        <w:rPr>
          <w:rFonts w:hint="eastAsia" w:ascii="仿宋" w:hAnsi="仿宋" w:eastAsia="仿宋" w:cs="仿宋"/>
          <w:b/>
          <w:bCs w:val="0"/>
          <w:color w:val="auto"/>
          <w:sz w:val="22"/>
          <w:szCs w:val="22"/>
          <w:highlight w:val="none"/>
          <w:lang w:eastAsia="zh-CN" w:bidi="ar"/>
        </w:rPr>
        <w:t>陕西省道路货运能源消费和碳排放强度摸底排查工作</w:t>
      </w:r>
      <w:r>
        <w:rPr>
          <w:rFonts w:hint="eastAsia" w:ascii="仿宋" w:hAnsi="仿宋" w:eastAsia="仿宋" w:cs="仿宋"/>
          <w:b/>
          <w:bCs w:val="0"/>
          <w:color w:val="auto"/>
          <w:sz w:val="22"/>
          <w:szCs w:val="22"/>
          <w:highlight w:val="none"/>
          <w:lang w:bidi="ar"/>
        </w:rPr>
        <w:t>专项资金（项目）绩效目标自评表》</w:t>
      </w:r>
      <w:r>
        <w:rPr>
          <w:rFonts w:hint="eastAsia" w:ascii="仿宋" w:hAnsi="仿宋" w:eastAsia="仿宋" w:cs="仿宋"/>
          <w:b/>
          <w:bCs w:val="0"/>
          <w:color w:val="auto"/>
          <w:sz w:val="22"/>
          <w:szCs w:val="22"/>
          <w:highlight w:val="none"/>
          <w:lang w:val="en-US" w:eastAsia="zh-CN" w:bidi="ar"/>
        </w:rPr>
        <w:t>后</w:t>
      </w:r>
      <w:r>
        <w:rPr>
          <w:rFonts w:hint="eastAsia" w:ascii="仿宋" w:hAnsi="仿宋" w:eastAsia="仿宋" w:cs="仿宋"/>
          <w:b/>
          <w:bCs w:val="0"/>
          <w:color w:val="auto"/>
          <w:sz w:val="22"/>
          <w:szCs w:val="22"/>
          <w:highlight w:val="none"/>
          <w:lang w:bidi="ar"/>
        </w:rPr>
        <w:t>一次</w:t>
      </w:r>
      <w:r>
        <w:rPr>
          <w:rFonts w:hint="eastAsia" w:ascii="仿宋" w:hAnsi="仿宋" w:eastAsia="仿宋" w:cs="仿宋"/>
          <w:b/>
          <w:bCs w:val="0"/>
          <w:color w:val="auto"/>
          <w:sz w:val="22"/>
          <w:szCs w:val="22"/>
          <w:highlight w:val="none"/>
          <w:lang w:val="en-US" w:eastAsia="zh-CN" w:bidi="ar"/>
        </w:rPr>
        <w:t>性</w:t>
      </w:r>
      <w:r>
        <w:rPr>
          <w:rFonts w:hint="eastAsia" w:ascii="仿宋" w:hAnsi="仿宋" w:eastAsia="仿宋" w:cs="仿宋"/>
          <w:b/>
          <w:bCs w:val="0"/>
          <w:color w:val="auto"/>
          <w:sz w:val="22"/>
          <w:szCs w:val="22"/>
          <w:highlight w:val="none"/>
          <w:lang w:bidi="ar"/>
        </w:rPr>
        <w:t>无息退回，若乙方违约，甲方有权从履约保证金中直接扣减。若甲方违约，则应当赔偿给乙方造成的经济损失。</w:t>
      </w:r>
    </w:p>
    <w:p w14:paraId="05213175">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bidi="ar"/>
        </w:rPr>
        <w:t>1.合同含税金额（大写）：</w:t>
      </w:r>
      <w:r>
        <w:rPr>
          <w:rFonts w:hint="eastAsia" w:ascii="仿宋" w:hAnsi="仿宋" w:eastAsia="仿宋" w:cs="仿宋"/>
          <w:b/>
          <w:color w:val="auto"/>
          <w:sz w:val="22"/>
          <w:szCs w:val="22"/>
          <w:highlight w:val="none"/>
          <w:u w:val="single"/>
          <w:lang w:bidi="ar"/>
        </w:rPr>
        <w:t xml:space="preserve">   </w:t>
      </w:r>
      <w:r>
        <w:rPr>
          <w:rFonts w:hint="eastAsia" w:ascii="仿宋" w:hAnsi="仿宋" w:eastAsia="仿宋" w:cs="仿宋"/>
          <w:b/>
          <w:color w:val="auto"/>
          <w:sz w:val="22"/>
          <w:szCs w:val="22"/>
          <w:highlight w:val="none"/>
          <w:lang w:bidi="ar"/>
        </w:rPr>
        <w:t>元（人民币）¥：</w:t>
      </w:r>
      <w:r>
        <w:rPr>
          <w:rFonts w:hint="eastAsia" w:ascii="仿宋" w:hAnsi="仿宋" w:eastAsia="仿宋" w:cs="仿宋"/>
          <w:b/>
          <w:color w:val="auto"/>
          <w:sz w:val="22"/>
          <w:szCs w:val="22"/>
          <w:highlight w:val="none"/>
          <w:u w:val="single"/>
          <w:lang w:bidi="ar"/>
        </w:rPr>
        <w:t xml:space="preserve">   </w:t>
      </w:r>
      <w:r>
        <w:rPr>
          <w:rFonts w:hint="eastAsia" w:ascii="仿宋" w:hAnsi="仿宋" w:eastAsia="仿宋" w:cs="仿宋"/>
          <w:b/>
          <w:color w:val="auto"/>
          <w:sz w:val="22"/>
          <w:szCs w:val="22"/>
          <w:highlight w:val="none"/>
          <w:lang w:bidi="ar"/>
        </w:rPr>
        <w:t>元</w:t>
      </w:r>
      <w:r>
        <w:rPr>
          <w:rFonts w:hint="eastAsia" w:ascii="仿宋" w:hAnsi="仿宋" w:eastAsia="仿宋" w:cs="仿宋"/>
          <w:b/>
          <w:color w:val="auto"/>
          <w:sz w:val="22"/>
          <w:szCs w:val="22"/>
          <w:highlight w:val="none"/>
          <w:lang w:eastAsia="zh-CN" w:bidi="ar"/>
        </w:rPr>
        <w:t>，该费用为本合同向乙方应支付的全部价款，除此之外无需承担或支付其他任何费用。</w:t>
      </w:r>
    </w:p>
    <w:p w14:paraId="683DF0AC">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bidi="ar"/>
        </w:rPr>
        <w:t>2.合同支付</w:t>
      </w:r>
    </w:p>
    <w:p w14:paraId="387CA421">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合同包</w:t>
      </w:r>
      <w:r>
        <w:rPr>
          <w:rFonts w:hint="eastAsia" w:ascii="仿宋" w:hAnsi="仿宋" w:eastAsia="仿宋" w:cs="仿宋"/>
          <w:bCs/>
          <w:color w:val="auto"/>
          <w:sz w:val="22"/>
          <w:szCs w:val="22"/>
          <w:highlight w:val="none"/>
          <w:lang w:val="en-US" w:eastAsia="zh-CN" w:bidi="ar"/>
        </w:rPr>
        <w:t>1</w:t>
      </w:r>
      <w:r>
        <w:rPr>
          <w:rFonts w:hint="eastAsia" w:ascii="仿宋" w:hAnsi="仿宋" w:eastAsia="仿宋" w:cs="仿宋"/>
          <w:bCs/>
          <w:color w:val="auto"/>
          <w:sz w:val="22"/>
          <w:szCs w:val="22"/>
          <w:highlight w:val="none"/>
          <w:lang w:bidi="ar"/>
        </w:rPr>
        <w:t>：</w:t>
      </w:r>
    </w:p>
    <w:p w14:paraId="62042603">
      <w:pPr>
        <w:keepNext w:val="0"/>
        <w:keepLines w:val="0"/>
        <w:pageBreakBefore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合同签订后</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0日内支付合同总金额的50%；</w:t>
      </w:r>
      <w:r>
        <w:rPr>
          <w:rFonts w:hint="eastAsia" w:ascii="仿宋" w:hAnsi="仿宋" w:eastAsia="仿宋" w:cs="仿宋"/>
          <w:color w:val="auto"/>
          <w:highlight w:val="none"/>
          <w:lang w:eastAsia="zh-CN"/>
        </w:rPr>
        <w:t>项目验收合格后</w:t>
      </w:r>
      <w:r>
        <w:rPr>
          <w:rFonts w:hint="eastAsia" w:ascii="仿宋" w:hAnsi="仿宋" w:eastAsia="仿宋" w:cs="仿宋"/>
          <w:color w:val="auto"/>
          <w:highlight w:val="none"/>
        </w:rPr>
        <w:t>支付剩余50%合同款项；</w:t>
      </w:r>
    </w:p>
    <w:p w14:paraId="681AA7BB">
      <w:pPr>
        <w:keepNext w:val="0"/>
        <w:keepLines w:val="0"/>
        <w:pageBreakBefore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w:t>
      </w:r>
      <w:r>
        <w:rPr>
          <w:rFonts w:hint="eastAsia" w:ascii="仿宋" w:hAnsi="仿宋" w:eastAsia="仿宋" w:cs="仿宋"/>
          <w:bCs/>
          <w:color w:val="auto"/>
          <w:sz w:val="22"/>
          <w:szCs w:val="22"/>
          <w:highlight w:val="none"/>
          <w:lang w:bidi="ar"/>
        </w:rPr>
        <w:t>乙方在向甲方办理以上各期付款的支付手续前，应向甲方出具等额的符合国家规定的发票；因乙方未按时向甲方提供等额发票，导致甲方延期付款时，甲方不承担任何违约责任；</w:t>
      </w:r>
    </w:p>
    <w:p w14:paraId="2CF74A21">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eastAsia="zh-CN" w:bidi="ar"/>
        </w:rPr>
      </w:pPr>
      <w:r>
        <w:rPr>
          <w:rFonts w:hint="eastAsia" w:ascii="仿宋" w:hAnsi="仿宋" w:eastAsia="仿宋" w:cs="仿宋"/>
          <w:bCs/>
          <w:color w:val="auto"/>
          <w:sz w:val="22"/>
          <w:szCs w:val="22"/>
          <w:highlight w:val="none"/>
          <w:lang w:bidi="ar"/>
        </w:rPr>
        <w:t>（</w:t>
      </w:r>
      <w:r>
        <w:rPr>
          <w:rFonts w:hint="eastAsia" w:ascii="仿宋" w:hAnsi="仿宋" w:eastAsia="仿宋" w:cs="仿宋"/>
          <w:bCs/>
          <w:color w:val="auto"/>
          <w:sz w:val="22"/>
          <w:szCs w:val="22"/>
          <w:highlight w:val="none"/>
          <w:lang w:val="en-US" w:eastAsia="zh-CN" w:bidi="ar"/>
        </w:rPr>
        <w:t>3</w:t>
      </w:r>
      <w:r>
        <w:rPr>
          <w:rFonts w:hint="eastAsia" w:ascii="仿宋" w:hAnsi="仿宋" w:eastAsia="仿宋" w:cs="仿宋"/>
          <w:bCs/>
          <w:color w:val="auto"/>
          <w:sz w:val="22"/>
          <w:szCs w:val="22"/>
          <w:highlight w:val="none"/>
          <w:lang w:bidi="ar"/>
        </w:rPr>
        <w:t>）上述时间不包括甲方正常办理支付报批手续的时间</w:t>
      </w:r>
      <w:r>
        <w:rPr>
          <w:rFonts w:hint="eastAsia" w:ascii="仿宋" w:hAnsi="仿宋" w:eastAsia="仿宋" w:cs="仿宋"/>
          <w:bCs/>
          <w:color w:val="auto"/>
          <w:sz w:val="22"/>
          <w:szCs w:val="22"/>
          <w:highlight w:val="none"/>
          <w:lang w:eastAsia="zh-CN" w:bidi="ar"/>
        </w:rPr>
        <w:t>。</w:t>
      </w:r>
    </w:p>
    <w:p w14:paraId="27D02EDC">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（三）结算方式：银行转账。</w:t>
      </w:r>
    </w:p>
    <w:p w14:paraId="1510F6E2">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乙方对其账户信息的准确性和可用性承担全部责任，若其提供的账户信息发生任何变化，乙方应提前5个工作日书面通知甲方，否则甲方不对乙方未能收到或迟延收到任何款项承担责任。</w:t>
      </w:r>
    </w:p>
    <w:p w14:paraId="1E8C3629">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乙方指定收款账号：</w:t>
      </w:r>
    </w:p>
    <w:p w14:paraId="23D97BD1">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户名：</w:t>
      </w:r>
    </w:p>
    <w:p w14:paraId="3F586D8D">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账  号：</w:t>
      </w:r>
    </w:p>
    <w:p w14:paraId="4911B7C1">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开户行：</w:t>
      </w:r>
    </w:p>
    <w:p w14:paraId="7A32FEF8">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lang w:bidi="ar"/>
        </w:rPr>
      </w:pPr>
      <w:r>
        <w:rPr>
          <w:rFonts w:hint="eastAsia" w:ascii="仿宋" w:hAnsi="仿宋" w:eastAsia="仿宋" w:cs="仿宋"/>
          <w:b/>
          <w:color w:val="auto"/>
          <w:sz w:val="22"/>
          <w:szCs w:val="22"/>
          <w:highlight w:val="none"/>
          <w:lang w:bidi="ar"/>
        </w:rPr>
        <w:t>七、采购项目执行内容需要调整时，经甲方同意后，可以对相应的原服务内容进行调整，并协商确定价格差额计算方法和负担办法。</w:t>
      </w:r>
    </w:p>
    <w:p w14:paraId="1C0B7BE4">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lang w:bidi="ar"/>
        </w:rPr>
      </w:pPr>
      <w:r>
        <w:rPr>
          <w:rFonts w:hint="eastAsia" w:ascii="仿宋" w:hAnsi="仿宋" w:eastAsia="仿宋" w:cs="仿宋"/>
          <w:b/>
          <w:color w:val="auto"/>
          <w:sz w:val="22"/>
          <w:szCs w:val="22"/>
          <w:highlight w:val="none"/>
          <w:lang w:bidi="ar"/>
        </w:rPr>
        <w:t>八、服务变更</w:t>
      </w:r>
    </w:p>
    <w:p w14:paraId="673EF2F3">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成交后，咨询服务内容需要变更、调整时，应办理相应的变更、调整审批手续，并协商确定变更调整后的服务价款计算方法和服务期顺延等事宜。</w:t>
      </w:r>
    </w:p>
    <w:p w14:paraId="05DE708E">
      <w:pPr>
        <w:keepNext w:val="0"/>
        <w:keepLines w:val="0"/>
        <w:pageBreakBefore w:val="0"/>
        <w:numPr>
          <w:ilvl w:val="0"/>
          <w:numId w:val="2"/>
        </w:numPr>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
          <w:color w:val="auto"/>
          <w:sz w:val="22"/>
          <w:szCs w:val="22"/>
          <w:highlight w:val="none"/>
          <w:lang w:bidi="ar"/>
        </w:rPr>
        <w:t>验收：</w:t>
      </w:r>
      <w:r>
        <w:rPr>
          <w:rFonts w:hint="eastAsia" w:ascii="仿宋" w:hAnsi="仿宋" w:eastAsia="仿宋" w:cs="仿宋"/>
          <w:b w:val="0"/>
          <w:bCs/>
          <w:color w:val="auto"/>
          <w:sz w:val="22"/>
          <w:szCs w:val="22"/>
          <w:highlight w:val="none"/>
          <w:lang w:eastAsia="zh-CN" w:bidi="ar"/>
        </w:rPr>
        <w:t>乙方完成所有合同内容</w:t>
      </w:r>
      <w:r>
        <w:rPr>
          <w:rFonts w:hint="eastAsia" w:ascii="仿宋" w:hAnsi="仿宋" w:eastAsia="仿宋" w:cs="仿宋"/>
          <w:b w:val="0"/>
          <w:bCs/>
          <w:color w:val="auto"/>
          <w:sz w:val="22"/>
          <w:szCs w:val="22"/>
          <w:highlight w:val="none"/>
          <w:lang w:val="en-US" w:eastAsia="zh-CN" w:bidi="ar"/>
        </w:rPr>
        <w:t>并提供书面验收申请</w:t>
      </w:r>
      <w:r>
        <w:rPr>
          <w:rFonts w:hint="eastAsia" w:ascii="仿宋" w:hAnsi="仿宋" w:eastAsia="仿宋" w:cs="仿宋"/>
          <w:b w:val="0"/>
          <w:bCs/>
          <w:color w:val="auto"/>
          <w:sz w:val="22"/>
          <w:szCs w:val="22"/>
          <w:highlight w:val="none"/>
          <w:lang w:eastAsia="zh-CN" w:bidi="ar"/>
        </w:rPr>
        <w:t>后，由</w:t>
      </w:r>
      <w:r>
        <w:rPr>
          <w:rFonts w:hint="eastAsia" w:ascii="仿宋" w:hAnsi="仿宋" w:eastAsia="仿宋" w:cs="仿宋"/>
          <w:bCs/>
          <w:color w:val="auto"/>
          <w:sz w:val="22"/>
          <w:szCs w:val="22"/>
          <w:highlight w:val="none"/>
          <w:lang w:bidi="ar"/>
        </w:rPr>
        <w:t>甲方负责组织</w:t>
      </w:r>
      <w:r>
        <w:rPr>
          <w:rFonts w:hint="eastAsia" w:ascii="仿宋" w:hAnsi="仿宋" w:eastAsia="仿宋" w:cs="仿宋"/>
          <w:bCs/>
          <w:color w:val="auto"/>
          <w:sz w:val="22"/>
          <w:szCs w:val="22"/>
          <w:highlight w:val="none"/>
          <w:lang w:eastAsia="zh-CN" w:bidi="ar"/>
        </w:rPr>
        <w:t>召开专家</w:t>
      </w:r>
      <w:r>
        <w:rPr>
          <w:rFonts w:hint="eastAsia" w:ascii="仿宋" w:hAnsi="仿宋" w:eastAsia="仿宋" w:cs="仿宋"/>
          <w:bCs/>
          <w:color w:val="auto"/>
          <w:sz w:val="22"/>
          <w:szCs w:val="22"/>
          <w:highlight w:val="none"/>
          <w:lang w:bidi="ar"/>
        </w:rPr>
        <w:t>验收</w:t>
      </w:r>
      <w:r>
        <w:rPr>
          <w:rFonts w:hint="eastAsia" w:ascii="仿宋" w:hAnsi="仿宋" w:eastAsia="仿宋" w:cs="仿宋"/>
          <w:bCs/>
          <w:color w:val="auto"/>
          <w:sz w:val="22"/>
          <w:szCs w:val="22"/>
          <w:highlight w:val="none"/>
          <w:lang w:eastAsia="zh-CN" w:bidi="ar"/>
        </w:rPr>
        <w:t>会</w:t>
      </w:r>
      <w:r>
        <w:rPr>
          <w:rFonts w:hint="eastAsia" w:ascii="仿宋" w:hAnsi="仿宋" w:eastAsia="仿宋" w:cs="仿宋"/>
          <w:bCs/>
          <w:color w:val="auto"/>
          <w:sz w:val="22"/>
          <w:szCs w:val="22"/>
          <w:highlight w:val="none"/>
          <w:lang w:bidi="ar"/>
        </w:rPr>
        <w:t>；</w:t>
      </w:r>
      <w:r>
        <w:rPr>
          <w:rFonts w:hint="eastAsia" w:ascii="仿宋" w:hAnsi="仿宋" w:eastAsia="仿宋" w:cs="仿宋"/>
          <w:bCs/>
          <w:color w:val="auto"/>
          <w:sz w:val="22"/>
          <w:szCs w:val="22"/>
          <w:highlight w:val="none"/>
          <w:lang w:eastAsia="zh-CN" w:bidi="ar"/>
        </w:rPr>
        <w:t>按合同内容及项目技术要求进行验收</w:t>
      </w:r>
      <w:r>
        <w:rPr>
          <w:rFonts w:hint="eastAsia" w:ascii="仿宋" w:hAnsi="仿宋" w:eastAsia="仿宋" w:cs="仿宋"/>
          <w:bCs/>
          <w:color w:val="auto"/>
          <w:sz w:val="22"/>
          <w:szCs w:val="22"/>
          <w:highlight w:val="none"/>
          <w:lang w:bidi="ar"/>
        </w:rPr>
        <w:t>，同时</w:t>
      </w:r>
      <w:r>
        <w:rPr>
          <w:rFonts w:hint="eastAsia" w:ascii="仿宋" w:hAnsi="仿宋" w:eastAsia="仿宋" w:cs="仿宋"/>
          <w:bCs/>
          <w:color w:val="auto"/>
          <w:sz w:val="22"/>
          <w:szCs w:val="22"/>
          <w:highlight w:val="none"/>
          <w:lang w:val="en-US" w:eastAsia="zh-CN" w:bidi="ar"/>
        </w:rPr>
        <w:t>乙方应</w:t>
      </w:r>
      <w:r>
        <w:rPr>
          <w:rFonts w:hint="eastAsia" w:ascii="仿宋" w:hAnsi="仿宋" w:eastAsia="仿宋" w:cs="仿宋"/>
          <w:bCs/>
          <w:color w:val="auto"/>
          <w:sz w:val="22"/>
          <w:szCs w:val="22"/>
          <w:highlight w:val="none"/>
          <w:lang w:bidi="ar"/>
        </w:rPr>
        <w:t>递交相关存档资料。</w:t>
      </w:r>
    </w:p>
    <w:p w14:paraId="414E44E1">
      <w:pPr>
        <w:spacing w:line="360" w:lineRule="auto"/>
        <w:ind w:firstLine="440" w:firstLineChars="200"/>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验收须以合同、国家相应的标准、规范等为依据。项目全部过程相关服务费用（包括但不限于专家验收费等其他费用）由</w:t>
      </w:r>
      <w:r>
        <w:rPr>
          <w:rFonts w:hint="eastAsia" w:ascii="仿宋" w:hAnsi="仿宋" w:eastAsia="仿宋" w:cs="仿宋"/>
          <w:bCs/>
          <w:color w:val="auto"/>
          <w:sz w:val="22"/>
          <w:szCs w:val="22"/>
          <w:highlight w:val="none"/>
          <w:lang w:val="en-US" w:eastAsia="zh-CN" w:bidi="ar"/>
        </w:rPr>
        <w:t>乙方</w:t>
      </w:r>
      <w:r>
        <w:rPr>
          <w:rFonts w:hint="eastAsia" w:ascii="仿宋" w:hAnsi="仿宋" w:eastAsia="仿宋" w:cs="仿宋"/>
          <w:bCs/>
          <w:color w:val="auto"/>
          <w:sz w:val="22"/>
          <w:szCs w:val="22"/>
          <w:highlight w:val="none"/>
          <w:lang w:bidi="ar"/>
        </w:rPr>
        <w:t>承担。</w:t>
      </w:r>
      <w:r>
        <w:rPr>
          <w:rFonts w:hint="eastAsia" w:ascii="仿宋" w:hAnsi="仿宋" w:eastAsia="仿宋" w:cs="仿宋"/>
          <w:bCs/>
          <w:color w:val="auto"/>
          <w:sz w:val="22"/>
          <w:szCs w:val="22"/>
          <w:highlight w:val="none"/>
          <w:lang w:val="en-US" w:eastAsia="zh-CN" w:bidi="ar"/>
        </w:rPr>
        <w:t>乙方</w:t>
      </w:r>
      <w:r>
        <w:rPr>
          <w:rFonts w:hint="eastAsia" w:ascii="仿宋" w:hAnsi="仿宋" w:eastAsia="仿宋" w:cs="仿宋"/>
          <w:bCs/>
          <w:color w:val="auto"/>
          <w:sz w:val="22"/>
          <w:szCs w:val="22"/>
          <w:highlight w:val="none"/>
          <w:lang w:bidi="ar"/>
        </w:rPr>
        <w:t>需按</w:t>
      </w:r>
      <w:r>
        <w:rPr>
          <w:rFonts w:hint="eastAsia" w:ascii="仿宋" w:hAnsi="仿宋" w:eastAsia="仿宋" w:cs="仿宋"/>
          <w:bCs/>
          <w:color w:val="auto"/>
          <w:sz w:val="22"/>
          <w:szCs w:val="22"/>
          <w:highlight w:val="none"/>
          <w:lang w:eastAsia="zh-CN" w:bidi="ar"/>
        </w:rPr>
        <w:t>甲方</w:t>
      </w:r>
      <w:r>
        <w:rPr>
          <w:rFonts w:hint="eastAsia" w:ascii="仿宋" w:hAnsi="仿宋" w:eastAsia="仿宋" w:cs="仿宋"/>
          <w:bCs/>
          <w:color w:val="auto"/>
          <w:sz w:val="22"/>
          <w:szCs w:val="22"/>
          <w:highlight w:val="none"/>
          <w:lang w:bidi="ar"/>
        </w:rPr>
        <w:t>要求配合验收工作，验收时长以采购方工作进度为准。</w:t>
      </w:r>
    </w:p>
    <w:p w14:paraId="7156CF4E">
      <w:pPr>
        <w:spacing w:line="360" w:lineRule="auto"/>
        <w:ind w:firstLine="440" w:firstLineChars="200"/>
        <w:rPr>
          <w:rFonts w:hint="eastAsia" w:eastAsia="仿宋"/>
          <w:lang w:eastAsia="zh-CN"/>
        </w:rPr>
      </w:pPr>
      <w:r>
        <w:rPr>
          <w:rFonts w:hint="eastAsia" w:ascii="仿宋" w:hAnsi="仿宋" w:eastAsia="仿宋" w:cs="仿宋"/>
          <w:bCs/>
          <w:color w:val="auto"/>
          <w:sz w:val="22"/>
          <w:szCs w:val="22"/>
          <w:highlight w:val="none"/>
          <w:lang w:bidi="ar"/>
        </w:rPr>
        <w:t>项目验收不合格，由乙方返工直至合格，</w:t>
      </w:r>
      <w:r>
        <w:rPr>
          <w:rFonts w:hint="eastAsia" w:ascii="仿宋" w:hAnsi="仿宋" w:eastAsia="仿宋" w:cs="仿宋"/>
          <w:bCs/>
          <w:color w:val="auto"/>
          <w:sz w:val="22"/>
          <w:szCs w:val="22"/>
          <w:highlight w:val="none"/>
          <w:lang w:val="en-US" w:eastAsia="zh-CN" w:bidi="ar"/>
        </w:rPr>
        <w:t>但返工期限不得超过自甲方向乙方提出验收不合格之日起45个自然日，</w:t>
      </w:r>
      <w:r>
        <w:rPr>
          <w:rFonts w:hint="eastAsia" w:ascii="仿宋" w:hAnsi="仿宋" w:eastAsia="仿宋" w:cs="仿宋"/>
          <w:bCs/>
          <w:color w:val="auto"/>
          <w:sz w:val="22"/>
          <w:szCs w:val="22"/>
          <w:highlight w:val="none"/>
          <w:lang w:bidi="ar"/>
        </w:rPr>
        <w:t>有关返工、再行验收，以及给甲方造成的损失等费用由乙方承担。若乙方未能在上述限期整改期届满前使项目最终验收合格，则视为乙方根本性违约。在此情形下</w:t>
      </w:r>
      <w:r>
        <w:rPr>
          <w:rFonts w:hint="eastAsia" w:ascii="仿宋" w:hAnsi="仿宋" w:eastAsia="仿宋" w:cs="仿宋"/>
          <w:bCs/>
          <w:color w:val="auto"/>
          <w:sz w:val="22"/>
          <w:szCs w:val="22"/>
          <w:highlight w:val="none"/>
          <w:lang w:eastAsia="zh-CN" w:bidi="ar"/>
        </w:rPr>
        <w:t>，</w:t>
      </w:r>
      <w:r>
        <w:rPr>
          <w:rFonts w:hint="eastAsia" w:ascii="仿宋" w:hAnsi="仿宋" w:eastAsia="仿宋" w:cs="仿宋"/>
          <w:bCs/>
          <w:color w:val="auto"/>
          <w:sz w:val="22"/>
          <w:szCs w:val="22"/>
          <w:highlight w:val="none"/>
          <w:lang w:bidi="ar"/>
        </w:rPr>
        <w:t>甲方有权立即单方书面通知乙方终止本合同；</w:t>
      </w:r>
      <w:r>
        <w:rPr>
          <w:rFonts w:hint="eastAsia" w:ascii="仿宋" w:hAnsi="仿宋" w:eastAsia="仿宋" w:cs="仿宋"/>
          <w:bCs/>
          <w:i w:val="0"/>
          <w:iCs w:val="0"/>
          <w:caps w:val="0"/>
          <w:color w:val="auto"/>
          <w:spacing w:val="0"/>
          <w:sz w:val="22"/>
          <w:szCs w:val="22"/>
          <w:highlight w:val="none"/>
          <w:shd w:val="clear" w:fill="auto"/>
          <w:lang w:bidi="ar"/>
        </w:rPr>
        <w:t>乙方除应返还甲方就该未合格项目已支付的全部合同价款外，</w:t>
      </w:r>
      <w:r>
        <w:rPr>
          <w:rStyle w:val="7"/>
          <w:rFonts w:hint="eastAsia" w:ascii="仿宋" w:hAnsi="仿宋" w:eastAsia="仿宋" w:cs="仿宋"/>
          <w:b w:val="0"/>
          <w:bCs/>
          <w:i w:val="0"/>
          <w:iCs w:val="0"/>
          <w:caps w:val="0"/>
          <w:color w:val="auto"/>
          <w:spacing w:val="0"/>
          <w:sz w:val="22"/>
          <w:szCs w:val="22"/>
          <w:highlight w:val="none"/>
          <w:shd w:val="clear" w:fill="FFFFFF"/>
          <w:lang w:bidi="ar"/>
        </w:rPr>
        <w:t>还应赔偿甲方由此遭受的全部直接经济损失及合理可预见的间接损失</w:t>
      </w:r>
      <w:r>
        <w:rPr>
          <w:rFonts w:hint="eastAsia" w:ascii="仿宋" w:hAnsi="仿宋" w:eastAsia="仿宋" w:cs="仿宋"/>
          <w:b w:val="0"/>
          <w:bCs/>
          <w:i w:val="0"/>
          <w:iCs w:val="0"/>
          <w:caps w:val="0"/>
          <w:color w:val="auto"/>
          <w:spacing w:val="0"/>
          <w:sz w:val="22"/>
          <w:szCs w:val="22"/>
          <w:highlight w:val="none"/>
          <w:shd w:val="clear"/>
          <w:lang w:eastAsia="zh-CN" w:bidi="ar"/>
        </w:rPr>
        <w:t>，</w:t>
      </w:r>
      <w:r>
        <w:rPr>
          <w:rStyle w:val="7"/>
          <w:rFonts w:hint="eastAsia" w:ascii="仿宋" w:hAnsi="仿宋" w:eastAsia="仿宋" w:cs="仿宋"/>
          <w:b w:val="0"/>
          <w:bCs/>
          <w:i w:val="0"/>
          <w:iCs w:val="0"/>
          <w:caps w:val="0"/>
          <w:color w:val="auto"/>
          <w:spacing w:val="0"/>
          <w:sz w:val="22"/>
          <w:szCs w:val="22"/>
          <w:highlight w:val="none"/>
          <w:shd w:val="clear" w:fill="FFFFFF"/>
          <w:lang w:bidi="ar"/>
        </w:rPr>
        <w:t>包括但不限于项目延期损失、另行委托之额外费用等</w:t>
      </w:r>
      <w:r>
        <w:rPr>
          <w:rFonts w:hint="eastAsia" w:ascii="仿宋" w:hAnsi="仿宋" w:eastAsia="仿宋" w:cs="仿宋"/>
          <w:b w:val="0"/>
          <w:bCs/>
          <w:i w:val="0"/>
          <w:iCs w:val="0"/>
          <w:caps w:val="0"/>
          <w:color w:val="auto"/>
          <w:spacing w:val="0"/>
          <w:sz w:val="22"/>
          <w:szCs w:val="22"/>
          <w:highlight w:val="none"/>
          <w:shd w:val="clear"/>
          <w:lang w:eastAsia="zh-CN" w:bidi="ar"/>
        </w:rPr>
        <w:t>。</w:t>
      </w:r>
    </w:p>
    <w:p w14:paraId="52357AED">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lang w:bidi="ar"/>
        </w:rPr>
      </w:pPr>
      <w:r>
        <w:rPr>
          <w:rFonts w:hint="eastAsia" w:ascii="仿宋" w:hAnsi="仿宋" w:eastAsia="仿宋" w:cs="仿宋"/>
          <w:b/>
          <w:color w:val="auto"/>
          <w:sz w:val="22"/>
          <w:szCs w:val="22"/>
          <w:highlight w:val="none"/>
          <w:lang w:bidi="ar"/>
        </w:rPr>
        <w:t>十、不可抗力：</w:t>
      </w:r>
    </w:p>
    <w:p w14:paraId="02323B4D">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一）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31938430">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（二）遭受不可抗力一方应在不可抗力事故发生后尽快以书面形式通知对方，并于事故发生后14天内将有关部门出具的证明文件、详细情况报告以及不可抗力对履行合同影响程度的说明通知对方。</w:t>
      </w:r>
    </w:p>
    <w:p w14:paraId="56F4CB9A">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三）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1D07B4A8">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（四）一旦不可抗力事故的影响持续120天以上，甲乙双方通过友好协商，在合理的时间内达成进一步履行合同或终止合同的协议。</w:t>
      </w:r>
    </w:p>
    <w:p w14:paraId="4F1251C8">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（五）如果由于甲方因国家政策的要求进行单位变更、机构改革等其他原因导致合同无法履行，甲方可解除合同，不承担任何责任。甲方预付的合同款项乙方应予退还。</w:t>
      </w:r>
    </w:p>
    <w:p w14:paraId="0FC0179C">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lang w:bidi="ar"/>
        </w:rPr>
      </w:pPr>
      <w:r>
        <w:rPr>
          <w:rFonts w:hint="eastAsia" w:ascii="仿宋" w:hAnsi="仿宋" w:eastAsia="仿宋" w:cs="仿宋"/>
          <w:b/>
          <w:color w:val="auto"/>
          <w:sz w:val="22"/>
          <w:szCs w:val="22"/>
          <w:highlight w:val="none"/>
          <w:lang w:bidi="ar"/>
        </w:rPr>
        <w:t>十</w:t>
      </w:r>
      <w:r>
        <w:rPr>
          <w:rFonts w:hint="eastAsia" w:ascii="仿宋" w:hAnsi="仿宋" w:eastAsia="仿宋" w:cs="仿宋"/>
          <w:b/>
          <w:color w:val="auto"/>
          <w:sz w:val="22"/>
          <w:szCs w:val="22"/>
          <w:highlight w:val="none"/>
          <w:lang w:eastAsia="zh-CN" w:bidi="ar"/>
        </w:rPr>
        <w:t>一</w:t>
      </w:r>
      <w:r>
        <w:rPr>
          <w:rFonts w:hint="eastAsia" w:ascii="仿宋" w:hAnsi="仿宋" w:eastAsia="仿宋" w:cs="仿宋"/>
          <w:b/>
          <w:color w:val="auto"/>
          <w:sz w:val="22"/>
          <w:szCs w:val="22"/>
          <w:highlight w:val="none"/>
          <w:lang w:bidi="ar"/>
        </w:rPr>
        <w:t>、合同一经签订，</w:t>
      </w:r>
      <w:r>
        <w:rPr>
          <w:rFonts w:hint="eastAsia" w:ascii="仿宋" w:hAnsi="仿宋" w:eastAsia="仿宋" w:cs="仿宋"/>
          <w:b/>
          <w:color w:val="auto"/>
          <w:sz w:val="22"/>
          <w:szCs w:val="22"/>
          <w:highlight w:val="none"/>
          <w:lang w:val="en-US" w:eastAsia="zh-CN" w:bidi="ar"/>
        </w:rPr>
        <w:t>乙方</w:t>
      </w:r>
      <w:r>
        <w:rPr>
          <w:rFonts w:hint="eastAsia" w:ascii="仿宋" w:hAnsi="仿宋" w:eastAsia="仿宋" w:cs="仿宋"/>
          <w:b/>
          <w:color w:val="auto"/>
          <w:sz w:val="22"/>
          <w:szCs w:val="22"/>
          <w:highlight w:val="none"/>
          <w:lang w:bidi="ar"/>
        </w:rPr>
        <w:t>不得擅自变更、中止或者终止合同。对确需变更、调整或者中止、终止合同的，应按规定履行相应的手续。</w:t>
      </w:r>
    </w:p>
    <w:p w14:paraId="44036BAD">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lang w:bidi="ar"/>
        </w:rPr>
      </w:pPr>
      <w:r>
        <w:rPr>
          <w:rFonts w:hint="eastAsia" w:ascii="仿宋" w:hAnsi="仿宋" w:eastAsia="仿宋" w:cs="仿宋"/>
          <w:b/>
          <w:color w:val="auto"/>
          <w:sz w:val="22"/>
          <w:szCs w:val="22"/>
          <w:highlight w:val="none"/>
          <w:lang w:bidi="ar"/>
        </w:rPr>
        <w:t>十</w:t>
      </w:r>
      <w:r>
        <w:rPr>
          <w:rFonts w:hint="eastAsia" w:ascii="仿宋" w:hAnsi="仿宋" w:eastAsia="仿宋" w:cs="仿宋"/>
          <w:b/>
          <w:color w:val="auto"/>
          <w:sz w:val="22"/>
          <w:szCs w:val="22"/>
          <w:highlight w:val="none"/>
          <w:lang w:eastAsia="zh-CN" w:bidi="ar"/>
        </w:rPr>
        <w:t>二</w:t>
      </w:r>
      <w:r>
        <w:rPr>
          <w:rFonts w:hint="eastAsia" w:ascii="仿宋" w:hAnsi="仿宋" w:eastAsia="仿宋" w:cs="仿宋"/>
          <w:b/>
          <w:color w:val="auto"/>
          <w:sz w:val="22"/>
          <w:szCs w:val="22"/>
          <w:highlight w:val="none"/>
          <w:lang w:bidi="ar"/>
        </w:rPr>
        <w:t>、违约责任：</w:t>
      </w:r>
    </w:p>
    <w:p w14:paraId="4C2B7543">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（一）</w:t>
      </w:r>
      <w:r>
        <w:rPr>
          <w:rFonts w:hint="default" w:ascii="仿宋" w:hAnsi="仿宋" w:eastAsia="仿宋" w:cs="仿宋"/>
          <w:bCs/>
          <w:color w:val="auto"/>
          <w:sz w:val="22"/>
          <w:szCs w:val="22"/>
          <w:highlight w:val="none"/>
          <w:lang w:val="en-US" w:bidi="ar"/>
        </w:rPr>
        <w:t>若乙方未全面履行合同义务或者未按合同约定履行、或者履行合同不符合甲方要求的，甲方有权要求乙方限期改正，乙方应在甲方指定的时间内完成改正；乙方未在限期内整改完毕或者未整改到位的，甲方有权终止合同，乙方应返还甲方支付价款，并承担合同总价30%的违约金，造成甲方损失的应当赔偿。同时，甲方有权报请有关监督管理机关依法进行相应的行政处罚。</w:t>
      </w:r>
    </w:p>
    <w:p w14:paraId="64F4C27A">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二）如因乙方工作人员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75576EE4">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（三）乙方应保证所提供的服务或其任何一部分均不会侵犯任何第三方的专利权、商标权或著作权。若因此造成的任何纠纷均由乙方承担责任，包括但不限于甲方因此产生的诉讼费、律师费、损害赔偿等。</w:t>
      </w:r>
    </w:p>
    <w:p w14:paraId="37F630A6">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w:t>
      </w:r>
      <w:r>
        <w:rPr>
          <w:rFonts w:hint="eastAsia" w:ascii="仿宋" w:hAnsi="仿宋" w:eastAsia="仿宋" w:cs="仿宋"/>
          <w:bCs/>
          <w:color w:val="auto"/>
          <w:sz w:val="22"/>
          <w:szCs w:val="22"/>
          <w:highlight w:val="none"/>
          <w:lang w:val="en-US" w:eastAsia="zh-CN" w:bidi="ar"/>
        </w:rPr>
        <w:t>四</w:t>
      </w:r>
      <w:r>
        <w:rPr>
          <w:rFonts w:hint="eastAsia" w:ascii="仿宋" w:hAnsi="仿宋" w:eastAsia="仿宋" w:cs="仿宋"/>
          <w:bCs/>
          <w:color w:val="auto"/>
          <w:sz w:val="22"/>
          <w:szCs w:val="22"/>
          <w:highlight w:val="none"/>
          <w:lang w:bidi="ar"/>
        </w:rPr>
        <w:t>）如果出现政府采购监督管理部门在处理投诉事项期间，书面通知甲方暂停采购活动的情形，或者询问或质疑事项可能影响成交结果的，导致甲方中止履行合同的情形，均不视为甲方违约。</w:t>
      </w:r>
    </w:p>
    <w:p w14:paraId="10BE7B54">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eastAsia="zh-CN" w:bidi="ar"/>
        </w:rPr>
      </w:pPr>
      <w:r>
        <w:rPr>
          <w:rFonts w:hint="eastAsia" w:ascii="仿宋" w:hAnsi="仿宋" w:eastAsia="仿宋" w:cs="仿宋"/>
          <w:bCs/>
          <w:color w:val="auto"/>
          <w:sz w:val="22"/>
          <w:szCs w:val="22"/>
          <w:highlight w:val="none"/>
          <w:lang w:bidi="ar"/>
        </w:rPr>
        <w:t>（</w:t>
      </w:r>
      <w:r>
        <w:rPr>
          <w:rFonts w:hint="eastAsia" w:ascii="仿宋" w:hAnsi="仿宋" w:eastAsia="仿宋" w:cs="仿宋"/>
          <w:bCs/>
          <w:color w:val="auto"/>
          <w:sz w:val="22"/>
          <w:szCs w:val="22"/>
          <w:highlight w:val="none"/>
          <w:lang w:val="en-US" w:eastAsia="zh-CN" w:bidi="ar"/>
        </w:rPr>
        <w:t>五</w:t>
      </w:r>
      <w:r>
        <w:rPr>
          <w:rFonts w:hint="eastAsia" w:ascii="仿宋" w:hAnsi="仿宋" w:eastAsia="仿宋" w:cs="仿宋"/>
          <w:bCs/>
          <w:color w:val="auto"/>
          <w:sz w:val="22"/>
          <w:szCs w:val="22"/>
          <w:highlight w:val="none"/>
          <w:lang w:bidi="ar"/>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r>
        <w:rPr>
          <w:rFonts w:hint="eastAsia" w:ascii="仿宋" w:hAnsi="仿宋" w:eastAsia="仿宋" w:cs="仿宋"/>
          <w:bCs/>
          <w:color w:val="auto"/>
          <w:sz w:val="22"/>
          <w:szCs w:val="22"/>
          <w:highlight w:val="none"/>
          <w:lang w:eastAsia="zh-CN" w:bidi="ar"/>
        </w:rPr>
        <w:t>。</w:t>
      </w:r>
    </w:p>
    <w:p w14:paraId="4AF74613">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eastAsia="zh-CN" w:bidi="ar"/>
        </w:rPr>
        <w:t>（</w:t>
      </w:r>
      <w:r>
        <w:rPr>
          <w:rFonts w:hint="eastAsia" w:ascii="仿宋" w:hAnsi="仿宋" w:eastAsia="仿宋" w:cs="仿宋"/>
          <w:bCs/>
          <w:color w:val="auto"/>
          <w:sz w:val="22"/>
          <w:szCs w:val="22"/>
          <w:highlight w:val="none"/>
          <w:lang w:val="en-US" w:eastAsia="zh-CN" w:bidi="ar"/>
        </w:rPr>
        <w:t>六</w:t>
      </w:r>
      <w:r>
        <w:rPr>
          <w:rFonts w:hint="eastAsia" w:ascii="仿宋" w:hAnsi="仿宋" w:eastAsia="仿宋" w:cs="仿宋"/>
          <w:bCs/>
          <w:color w:val="auto"/>
          <w:sz w:val="22"/>
          <w:szCs w:val="22"/>
          <w:highlight w:val="none"/>
          <w:lang w:eastAsia="zh-CN" w:bidi="ar"/>
        </w:rPr>
        <w:t>）</w:t>
      </w:r>
      <w:r>
        <w:rPr>
          <w:rFonts w:hint="eastAsia" w:ascii="仿宋" w:hAnsi="仿宋" w:eastAsia="仿宋" w:cs="仿宋"/>
          <w:bCs/>
          <w:color w:val="auto"/>
          <w:sz w:val="22"/>
          <w:szCs w:val="22"/>
          <w:highlight w:val="none"/>
          <w:lang w:bidi="ar"/>
        </w:rPr>
        <w:t>在本合同项下各方义务均履行完毕前，如乙方出现以下任一情形的，甲方有权在任何时候向乙方通知终止和/或解除本合同：</w:t>
      </w:r>
    </w:p>
    <w:p w14:paraId="7947B0F1">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（1）乙方被解散；</w:t>
      </w:r>
    </w:p>
    <w:p w14:paraId="072AA79B">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（2）乙方经人民法院裁定受理破产申请（包括破产清算申请、和解申请或重整申请）的；</w:t>
      </w:r>
    </w:p>
    <w:p w14:paraId="4F40C47B">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p>
    <w:p w14:paraId="0B75F41F">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lang w:eastAsia="zh-CN" w:bidi="ar"/>
        </w:rPr>
      </w:pPr>
      <w:r>
        <w:rPr>
          <w:rFonts w:hint="eastAsia" w:ascii="仿宋" w:hAnsi="仿宋" w:eastAsia="仿宋" w:cs="仿宋"/>
          <w:bCs/>
          <w:color w:val="auto"/>
          <w:sz w:val="22"/>
          <w:szCs w:val="22"/>
          <w:highlight w:val="none"/>
          <w:lang w:eastAsia="zh-CN" w:bidi="ar"/>
        </w:rPr>
        <w:t>（</w:t>
      </w:r>
      <w:r>
        <w:rPr>
          <w:rFonts w:hint="eastAsia" w:ascii="仿宋" w:hAnsi="仿宋" w:eastAsia="仿宋" w:cs="仿宋"/>
          <w:bCs/>
          <w:color w:val="auto"/>
          <w:sz w:val="22"/>
          <w:szCs w:val="22"/>
          <w:highlight w:val="none"/>
          <w:lang w:val="en-US" w:eastAsia="zh-CN" w:bidi="ar"/>
        </w:rPr>
        <w:t>七</w:t>
      </w:r>
      <w:r>
        <w:rPr>
          <w:rFonts w:hint="eastAsia" w:ascii="仿宋" w:hAnsi="仿宋" w:eastAsia="仿宋" w:cs="仿宋"/>
          <w:bCs/>
          <w:color w:val="auto"/>
          <w:sz w:val="22"/>
          <w:szCs w:val="22"/>
          <w:highlight w:val="none"/>
          <w:lang w:eastAsia="zh-CN" w:bidi="ar"/>
        </w:rPr>
        <w:t>）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475CC27C">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bidi="ar"/>
        </w:rPr>
        <w:t>十</w:t>
      </w:r>
      <w:r>
        <w:rPr>
          <w:rFonts w:hint="eastAsia" w:ascii="仿宋" w:hAnsi="仿宋" w:eastAsia="仿宋" w:cs="仿宋"/>
          <w:b/>
          <w:color w:val="auto"/>
          <w:sz w:val="22"/>
          <w:szCs w:val="22"/>
          <w:highlight w:val="none"/>
          <w:lang w:eastAsia="zh-CN" w:bidi="ar"/>
        </w:rPr>
        <w:t>三</w:t>
      </w:r>
      <w:r>
        <w:rPr>
          <w:rFonts w:hint="eastAsia" w:ascii="仿宋" w:hAnsi="仿宋" w:eastAsia="仿宋" w:cs="仿宋"/>
          <w:b/>
          <w:color w:val="auto"/>
          <w:sz w:val="22"/>
          <w:szCs w:val="22"/>
          <w:highlight w:val="none"/>
          <w:lang w:bidi="ar"/>
        </w:rPr>
        <w:t>、履行瑕疵</w:t>
      </w:r>
    </w:p>
    <w:p w14:paraId="421797FC">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2D25FF0A">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bidi="ar"/>
        </w:rPr>
        <w:t>如果</w:t>
      </w:r>
      <w:r>
        <w:rPr>
          <w:rFonts w:hint="eastAsia" w:ascii="仿宋" w:hAnsi="仿宋" w:eastAsia="仿宋" w:cs="仿宋"/>
          <w:color w:val="auto"/>
          <w:sz w:val="22"/>
          <w:szCs w:val="22"/>
          <w:highlight w:val="none"/>
          <w:lang w:bidi="ar"/>
        </w:rPr>
        <w:t>乙方履行义务存在瑕疵却未及时书面通知甲方</w:t>
      </w:r>
      <w:r>
        <w:rPr>
          <w:rFonts w:hint="eastAsia" w:ascii="仿宋" w:hAnsi="仿宋" w:eastAsia="仿宋" w:cs="仿宋"/>
          <w:color w:val="auto"/>
          <w:sz w:val="22"/>
          <w:szCs w:val="22"/>
          <w:highlight w:val="none"/>
          <w:lang w:val="en-US" w:eastAsia="zh-CN" w:bidi="ar"/>
        </w:rPr>
        <w:t>或隐瞒事实</w:t>
      </w:r>
      <w:r>
        <w:rPr>
          <w:rFonts w:hint="eastAsia" w:ascii="仿宋" w:hAnsi="仿宋" w:eastAsia="仿宋" w:cs="仿宋"/>
          <w:color w:val="auto"/>
          <w:sz w:val="22"/>
          <w:szCs w:val="22"/>
          <w:highlight w:val="none"/>
          <w:lang w:bidi="ar"/>
        </w:rPr>
        <w:t>，</w:t>
      </w:r>
      <w:r>
        <w:rPr>
          <w:rFonts w:hint="eastAsia" w:ascii="仿宋" w:hAnsi="仿宋" w:eastAsia="仿宋" w:cs="仿宋"/>
          <w:color w:val="auto"/>
          <w:sz w:val="22"/>
          <w:szCs w:val="22"/>
          <w:highlight w:val="none"/>
          <w:lang w:val="en-US" w:eastAsia="zh-CN" w:bidi="ar"/>
        </w:rPr>
        <w:t>甲方有权立即解除合同并要求乙方承担所有损失</w:t>
      </w:r>
      <w:r>
        <w:rPr>
          <w:rFonts w:hint="eastAsia" w:ascii="仿宋" w:hAnsi="仿宋" w:eastAsia="仿宋" w:cs="仿宋"/>
          <w:color w:val="auto"/>
          <w:sz w:val="22"/>
          <w:szCs w:val="22"/>
          <w:highlight w:val="none"/>
          <w:lang w:bidi="ar"/>
        </w:rPr>
        <w:t>。乙方未履行通知义务不影响甲方自行判断乙方履行情况并行使合同解除权等相关权利。</w:t>
      </w:r>
    </w:p>
    <w:p w14:paraId="0F189162">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十</w:t>
      </w:r>
      <w:r>
        <w:rPr>
          <w:rFonts w:hint="eastAsia" w:ascii="仿宋" w:hAnsi="仿宋" w:eastAsia="仿宋" w:cs="仿宋"/>
          <w:b/>
          <w:bCs/>
          <w:color w:val="auto"/>
          <w:sz w:val="22"/>
          <w:szCs w:val="22"/>
          <w:highlight w:val="none"/>
          <w:lang w:eastAsia="zh-CN" w:bidi="ar"/>
        </w:rPr>
        <w:t>四</w:t>
      </w:r>
      <w:r>
        <w:rPr>
          <w:rFonts w:hint="eastAsia" w:ascii="仿宋" w:hAnsi="仿宋" w:eastAsia="仿宋" w:cs="仿宋"/>
          <w:b/>
          <w:bCs/>
          <w:color w:val="auto"/>
          <w:sz w:val="22"/>
          <w:szCs w:val="22"/>
          <w:highlight w:val="none"/>
          <w:lang w:bidi="ar"/>
        </w:rPr>
        <w:t>、合同转让和分包</w:t>
      </w:r>
    </w:p>
    <w:p w14:paraId="5B01D410">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lang w:bidi="ar"/>
        </w:rPr>
        <w:t>合同的权利义务依法不得转让，不得分包。</w:t>
      </w:r>
    </w:p>
    <w:p w14:paraId="245A165A">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十</w:t>
      </w:r>
      <w:r>
        <w:rPr>
          <w:rFonts w:hint="eastAsia" w:ascii="仿宋" w:hAnsi="仿宋" w:eastAsia="仿宋" w:cs="仿宋"/>
          <w:b/>
          <w:bCs/>
          <w:color w:val="auto"/>
          <w:sz w:val="22"/>
          <w:szCs w:val="22"/>
          <w:highlight w:val="none"/>
          <w:lang w:eastAsia="zh-CN" w:bidi="ar"/>
        </w:rPr>
        <w:t>五</w:t>
      </w:r>
      <w:r>
        <w:rPr>
          <w:rFonts w:hint="eastAsia" w:ascii="仿宋" w:hAnsi="仿宋" w:eastAsia="仿宋" w:cs="仿宋"/>
          <w:b/>
          <w:bCs/>
          <w:color w:val="auto"/>
          <w:sz w:val="22"/>
          <w:szCs w:val="22"/>
          <w:highlight w:val="none"/>
          <w:lang w:bidi="ar"/>
        </w:rPr>
        <w:t>、本合同用中文书写。本合同一式捌份，甲方执肆份，乙方执贰份，陕西省财政厅政府采购管理处备案壹份，采购代理机构执壹份，所有合同均具有相同的法律效力。</w:t>
      </w:r>
    </w:p>
    <w:p w14:paraId="78EC2140">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十</w:t>
      </w:r>
      <w:r>
        <w:rPr>
          <w:rFonts w:hint="eastAsia" w:ascii="仿宋" w:hAnsi="仿宋" w:eastAsia="仿宋" w:cs="仿宋"/>
          <w:b/>
          <w:bCs/>
          <w:color w:val="auto"/>
          <w:sz w:val="22"/>
          <w:szCs w:val="22"/>
          <w:highlight w:val="none"/>
          <w:lang w:eastAsia="zh-CN" w:bidi="ar"/>
        </w:rPr>
        <w:t>六</w:t>
      </w:r>
      <w:r>
        <w:rPr>
          <w:rFonts w:hint="eastAsia" w:ascii="仿宋" w:hAnsi="仿宋" w:eastAsia="仿宋" w:cs="仿宋"/>
          <w:b/>
          <w:bCs/>
          <w:color w:val="auto"/>
          <w:sz w:val="22"/>
          <w:szCs w:val="22"/>
          <w:highlight w:val="none"/>
          <w:lang w:bidi="ar"/>
        </w:rPr>
        <w:t>、保密</w:t>
      </w:r>
    </w:p>
    <w:p w14:paraId="16CF854D">
      <w:pPr>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乙方对于因签署或履行本合同而了解或接触到的采购方的秘密及其他机密资料和信息、采集的数据（以下简称“保密信息”）均应保守秘密，且仅为履行本合同目的而进行使用；非经采购方书面同意，乙方不得向第三方泄露、给予或转让该等保密信息，除非是根据法律法规、行政机关、监管机构要求而需要披露。</w:t>
      </w:r>
    </w:p>
    <w:p w14:paraId="54DA7BAE">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十</w:t>
      </w:r>
      <w:r>
        <w:rPr>
          <w:rFonts w:hint="eastAsia" w:ascii="仿宋" w:hAnsi="仿宋" w:eastAsia="仿宋" w:cs="仿宋"/>
          <w:b/>
          <w:bCs/>
          <w:color w:val="auto"/>
          <w:sz w:val="22"/>
          <w:szCs w:val="22"/>
          <w:highlight w:val="none"/>
          <w:lang w:eastAsia="zh-CN" w:bidi="ar"/>
        </w:rPr>
        <w:t>七</w:t>
      </w:r>
      <w:r>
        <w:rPr>
          <w:rFonts w:hint="eastAsia" w:ascii="仿宋" w:hAnsi="仿宋" w:eastAsia="仿宋" w:cs="仿宋"/>
          <w:b/>
          <w:bCs/>
          <w:color w:val="auto"/>
          <w:sz w:val="22"/>
          <w:szCs w:val="22"/>
          <w:highlight w:val="none"/>
          <w:lang w:bidi="ar"/>
        </w:rPr>
        <w:t>、其他未尽事宜以甲方与乙方签订的合同条款为准。</w:t>
      </w:r>
    </w:p>
    <w:p w14:paraId="1A0BFD7F">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bidi="ar"/>
        </w:rPr>
        <w:t>十</w:t>
      </w:r>
      <w:r>
        <w:rPr>
          <w:rFonts w:hint="eastAsia" w:ascii="仿宋" w:hAnsi="仿宋" w:eastAsia="仿宋" w:cs="仿宋"/>
          <w:b/>
          <w:bCs/>
          <w:color w:val="auto"/>
          <w:sz w:val="22"/>
          <w:szCs w:val="22"/>
          <w:highlight w:val="none"/>
          <w:lang w:eastAsia="zh-CN" w:bidi="ar"/>
        </w:rPr>
        <w:t>八</w:t>
      </w:r>
      <w:r>
        <w:rPr>
          <w:rFonts w:hint="eastAsia" w:ascii="仿宋" w:hAnsi="仿宋" w:eastAsia="仿宋" w:cs="仿宋"/>
          <w:b/>
          <w:bCs/>
          <w:color w:val="auto"/>
          <w:sz w:val="22"/>
          <w:szCs w:val="22"/>
          <w:highlight w:val="none"/>
          <w:lang w:bidi="ar"/>
        </w:rPr>
        <w:t>、合同争议的解决：合同执行中发生争议的，当事人双方应协商解决，协商达不成一致时，应向甲方所在地辖区法院</w:t>
      </w:r>
      <w:r>
        <w:rPr>
          <w:rFonts w:hint="eastAsia" w:ascii="仿宋" w:hAnsi="仿宋" w:eastAsia="仿宋" w:cs="仿宋"/>
          <w:b/>
          <w:bCs/>
          <w:color w:val="auto"/>
          <w:sz w:val="22"/>
          <w:szCs w:val="22"/>
          <w:highlight w:val="none"/>
          <w:lang w:val="en-US" w:eastAsia="zh-CN" w:bidi="ar"/>
        </w:rPr>
        <w:t>提起</w:t>
      </w:r>
      <w:r>
        <w:rPr>
          <w:rFonts w:hint="eastAsia" w:ascii="仿宋" w:hAnsi="仿宋" w:eastAsia="仿宋" w:cs="仿宋"/>
          <w:b/>
          <w:bCs/>
          <w:color w:val="auto"/>
          <w:sz w:val="22"/>
          <w:szCs w:val="22"/>
          <w:highlight w:val="none"/>
          <w:lang w:bidi="ar"/>
        </w:rPr>
        <w:t>诉讼。</w:t>
      </w:r>
    </w:p>
    <w:p w14:paraId="17A14FFC">
      <w:pPr>
        <w:keepNext w:val="0"/>
        <w:keepLines w:val="0"/>
        <w:pageBreakBefore w:val="0"/>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bidi="ar"/>
        </w:rPr>
        <w:t>十九</w:t>
      </w:r>
      <w:r>
        <w:rPr>
          <w:rFonts w:hint="eastAsia" w:ascii="仿宋" w:hAnsi="仿宋" w:eastAsia="仿宋" w:cs="仿宋"/>
          <w:b/>
          <w:bCs/>
          <w:color w:val="auto"/>
          <w:sz w:val="22"/>
          <w:szCs w:val="22"/>
          <w:highlight w:val="none"/>
          <w:lang w:bidi="ar"/>
        </w:rPr>
        <w:t>、本合同自双方法定代表人或授权代表签字并盖公章之日起生效。本合同未涉事宜双方可协商确定并签订补充协议。补充协议、下列合同附件均为合同的有效组成部分，与本合同具有同等法律效力。</w:t>
      </w:r>
    </w:p>
    <w:p w14:paraId="3BA3E3A6">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lang w:bidi="ar"/>
        </w:rPr>
        <w:t xml:space="preserve"> </w:t>
      </w:r>
      <w:r>
        <w:rPr>
          <w:rFonts w:hint="eastAsia" w:ascii="仿宋" w:hAnsi="仿宋" w:eastAsia="仿宋" w:cs="仿宋"/>
          <w:color w:val="auto"/>
          <w:sz w:val="22"/>
          <w:szCs w:val="22"/>
          <w:highlight w:val="none"/>
          <w:lang w:val="en-US" w:eastAsia="zh-CN" w:bidi="ar"/>
        </w:rPr>
        <w:t xml:space="preserve">   附件：</w:t>
      </w:r>
      <w:r>
        <w:rPr>
          <w:rFonts w:hint="eastAsia" w:ascii="仿宋" w:hAnsi="仿宋" w:eastAsia="仿宋" w:cs="仿宋"/>
          <w:b/>
          <w:bCs/>
          <w:color w:val="auto"/>
          <w:kern w:val="0"/>
          <w:sz w:val="24"/>
          <w:szCs w:val="24"/>
          <w:highlight w:val="none"/>
          <w:lang w:bidi="ar"/>
        </w:rPr>
        <w:t>XX专项资金（项目）绩效目标自评表</w:t>
      </w:r>
    </w:p>
    <w:p w14:paraId="34688433">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2"/>
          <w:szCs w:val="22"/>
          <w:highlight w:val="none"/>
          <w:lang w:bidi="ar"/>
        </w:rPr>
      </w:pPr>
    </w:p>
    <w:p w14:paraId="0FE97B0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2"/>
          <w:szCs w:val="22"/>
          <w:highlight w:val="none"/>
          <w:lang w:eastAsia="zh-CN" w:bidi="ar"/>
        </w:rPr>
      </w:pPr>
      <w:r>
        <w:rPr>
          <w:rFonts w:hint="eastAsia" w:ascii="仿宋" w:hAnsi="仿宋" w:eastAsia="仿宋" w:cs="仿宋"/>
          <w:color w:val="auto"/>
          <w:sz w:val="22"/>
          <w:szCs w:val="22"/>
          <w:highlight w:val="none"/>
          <w:lang w:eastAsia="zh-CN" w:bidi="ar"/>
        </w:rPr>
        <w:t>（</w:t>
      </w:r>
      <w:r>
        <w:rPr>
          <w:rFonts w:hint="eastAsia" w:ascii="仿宋" w:hAnsi="仿宋" w:eastAsia="仿宋" w:cs="仿宋"/>
          <w:color w:val="auto"/>
          <w:sz w:val="22"/>
          <w:szCs w:val="22"/>
          <w:highlight w:val="none"/>
          <w:lang w:val="en-US" w:eastAsia="zh-CN" w:bidi="ar"/>
        </w:rPr>
        <w:t>以下为签署页，为正文</w:t>
      </w:r>
      <w:r>
        <w:rPr>
          <w:rFonts w:hint="eastAsia" w:ascii="仿宋" w:hAnsi="仿宋" w:eastAsia="仿宋" w:cs="仿宋"/>
          <w:color w:val="auto"/>
          <w:sz w:val="22"/>
          <w:szCs w:val="22"/>
          <w:highlight w:val="none"/>
          <w:lang w:eastAsia="zh-CN" w:bidi="ar"/>
        </w:rPr>
        <w:t>）</w:t>
      </w:r>
    </w:p>
    <w:p w14:paraId="2A10BCF7">
      <w:pPr>
        <w:pStyle w:val="5"/>
        <w:keepNext w:val="0"/>
        <w:keepLines w:val="0"/>
        <w:pageBreakBefore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sz w:val="28"/>
          <w:szCs w:val="28"/>
          <w:highlight w:val="none"/>
        </w:rPr>
      </w:pPr>
    </w:p>
    <w:p w14:paraId="3DD549C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sz w:val="22"/>
          <w:szCs w:val="22"/>
          <w:highlight w:val="none"/>
          <w:lang w:bidi="ar"/>
        </w:rPr>
      </w:pPr>
      <w:r>
        <w:rPr>
          <w:rFonts w:hint="eastAsia" w:ascii="仿宋" w:hAnsi="仿宋" w:eastAsia="仿宋" w:cs="仿宋"/>
          <w:bCs/>
          <w:color w:val="auto"/>
          <w:sz w:val="22"/>
          <w:szCs w:val="22"/>
          <w:highlight w:val="none"/>
          <w:lang w:bidi="ar"/>
        </w:rPr>
        <w:br w:type="page"/>
      </w:r>
    </w:p>
    <w:p w14:paraId="2B3711EB">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 xml:space="preserve">甲  </w:t>
      </w:r>
      <w:r>
        <w:rPr>
          <w:rFonts w:hint="eastAsia" w:ascii="仿宋" w:hAnsi="仿宋" w:eastAsia="仿宋" w:cs="仿宋"/>
          <w:color w:val="auto"/>
          <w:kern w:val="0"/>
          <w:sz w:val="22"/>
          <w:szCs w:val="22"/>
          <w:highlight w:val="none"/>
          <w:lang w:bidi="ar"/>
        </w:rPr>
        <w:t>方</w:t>
      </w:r>
      <w:r>
        <w:rPr>
          <w:rFonts w:hint="eastAsia" w:ascii="仿宋" w:hAnsi="仿宋" w:eastAsia="仿宋" w:cs="仿宋"/>
          <w:bCs/>
          <w:color w:val="auto"/>
          <w:sz w:val="22"/>
          <w:szCs w:val="22"/>
          <w:highlight w:val="none"/>
          <w:lang w:bidi="ar"/>
        </w:rPr>
        <w:t xml:space="preserve">：（公章）                    乙  </w:t>
      </w:r>
      <w:r>
        <w:rPr>
          <w:rFonts w:hint="eastAsia" w:ascii="仿宋" w:hAnsi="仿宋" w:eastAsia="仿宋" w:cs="仿宋"/>
          <w:color w:val="auto"/>
          <w:kern w:val="0"/>
          <w:sz w:val="22"/>
          <w:szCs w:val="22"/>
          <w:highlight w:val="none"/>
          <w:lang w:bidi="ar"/>
        </w:rPr>
        <w:t>方</w:t>
      </w:r>
      <w:r>
        <w:rPr>
          <w:rFonts w:hint="eastAsia" w:ascii="仿宋" w:hAnsi="仿宋" w:eastAsia="仿宋" w:cs="仿宋"/>
          <w:bCs/>
          <w:color w:val="auto"/>
          <w:sz w:val="22"/>
          <w:szCs w:val="22"/>
          <w:highlight w:val="none"/>
          <w:lang w:bidi="ar"/>
        </w:rPr>
        <w:t>：（公章）</w:t>
      </w:r>
    </w:p>
    <w:p w14:paraId="0F95E5B8">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地  址：                            地  址：</w:t>
      </w:r>
    </w:p>
    <w:p w14:paraId="2E340D4E">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社会统一信用代码：                  社会统一信用代码：</w:t>
      </w:r>
    </w:p>
    <w:p w14:paraId="188B48B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法定代表人或其授权                  法定代表人或其授权</w:t>
      </w:r>
    </w:p>
    <w:p w14:paraId="3D536B83">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的代理人（签字）                    的代理人(签字)</w:t>
      </w:r>
    </w:p>
    <w:p w14:paraId="6327A5E0">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电    话：                          电    话：</w:t>
      </w:r>
    </w:p>
    <w:p w14:paraId="21FCF0A0">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开户银行：                          开户银行：</w:t>
      </w:r>
    </w:p>
    <w:p w14:paraId="12F1F94E">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bidi="ar"/>
        </w:rPr>
        <w:t>账    号：                          账    号：</w:t>
      </w:r>
    </w:p>
    <w:p w14:paraId="24B7D994">
      <w:pPr>
        <w:pStyle w:val="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邮政编码：                          邮政编码：</w:t>
      </w:r>
    </w:p>
    <w:p w14:paraId="041AC424">
      <w:pPr>
        <w:jc w:val="both"/>
        <w:rPr>
          <w:rFonts w:hint="eastAsia" w:ascii="仿宋" w:hAnsi="仿宋" w:eastAsia="仿宋" w:cs="仿宋"/>
          <w:color w:val="auto"/>
          <w:sz w:val="28"/>
          <w:szCs w:val="28"/>
          <w:highlight w:val="none"/>
        </w:rPr>
      </w:pPr>
      <w:bookmarkStart w:id="8" w:name="_Toc27774"/>
      <w:bookmarkStart w:id="9" w:name="_Toc27745"/>
      <w:bookmarkStart w:id="10" w:name="_Toc5907"/>
      <w:r>
        <w:rPr>
          <w:rFonts w:hint="eastAsia" w:ascii="仿宋" w:hAnsi="仿宋" w:eastAsia="仿宋" w:cs="仿宋"/>
          <w:color w:val="auto"/>
          <w:sz w:val="28"/>
          <w:szCs w:val="28"/>
          <w:highlight w:val="none"/>
        </w:rPr>
        <w:br w:type="page"/>
      </w:r>
    </w:p>
    <w:p w14:paraId="3DF2BF04">
      <w:pPr>
        <w:pStyle w:val="5"/>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附件</w:t>
      </w:r>
      <w:bookmarkEnd w:id="8"/>
      <w:bookmarkEnd w:id="9"/>
      <w:bookmarkEnd w:id="10"/>
    </w:p>
    <w:tbl>
      <w:tblPr>
        <w:tblStyle w:val="6"/>
        <w:tblW w:w="5000" w:type="pct"/>
        <w:jc w:val="center"/>
        <w:tblLayout w:type="autofit"/>
        <w:tblCellMar>
          <w:top w:w="0" w:type="dxa"/>
          <w:left w:w="108" w:type="dxa"/>
          <w:bottom w:w="0" w:type="dxa"/>
          <w:right w:w="108" w:type="dxa"/>
        </w:tblCellMar>
      </w:tblPr>
      <w:tblGrid>
        <w:gridCol w:w="1233"/>
        <w:gridCol w:w="1154"/>
        <w:gridCol w:w="878"/>
        <w:gridCol w:w="953"/>
        <w:gridCol w:w="1082"/>
        <w:gridCol w:w="827"/>
        <w:gridCol w:w="798"/>
        <w:gridCol w:w="745"/>
        <w:gridCol w:w="852"/>
      </w:tblGrid>
      <w:tr w14:paraId="10BE8BA3">
        <w:tblPrEx>
          <w:tblCellMar>
            <w:top w:w="0" w:type="dxa"/>
            <w:left w:w="108" w:type="dxa"/>
            <w:bottom w:w="0" w:type="dxa"/>
            <w:right w:w="108" w:type="dxa"/>
          </w:tblCellMar>
        </w:tblPrEx>
        <w:trPr>
          <w:trHeight w:val="777"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9086F13">
            <w:pPr>
              <w:widowControl/>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bidi="ar"/>
              </w:rPr>
              <w:t>XX专项资金（项目）绩效目标自评表</w:t>
            </w:r>
            <w:r>
              <w:rPr>
                <w:rFonts w:hint="eastAsia" w:ascii="仿宋" w:hAnsi="仿宋" w:eastAsia="仿宋" w:cs="仿宋"/>
                <w:b/>
                <w:bCs/>
                <w:color w:val="auto"/>
                <w:kern w:val="0"/>
                <w:sz w:val="24"/>
                <w:szCs w:val="24"/>
                <w:highlight w:val="none"/>
                <w:lang w:bidi="ar"/>
              </w:rPr>
              <w:br w:type="textWrapping"/>
            </w:r>
            <w:r>
              <w:rPr>
                <w:rFonts w:hint="eastAsia" w:ascii="仿宋" w:hAnsi="仿宋" w:eastAsia="仿宋" w:cs="仿宋"/>
                <w:b/>
                <w:bCs/>
                <w:color w:val="auto"/>
                <w:kern w:val="0"/>
                <w:sz w:val="24"/>
                <w:szCs w:val="24"/>
                <w:highlight w:val="none"/>
                <w:lang w:bidi="ar"/>
              </w:rPr>
              <w:t>（       年度）</w:t>
            </w:r>
          </w:p>
        </w:tc>
      </w:tr>
      <w:tr w14:paraId="2FEA5664">
        <w:tblPrEx>
          <w:tblCellMar>
            <w:top w:w="0" w:type="dxa"/>
            <w:left w:w="108" w:type="dxa"/>
            <w:bottom w:w="0" w:type="dxa"/>
            <w:right w:w="108" w:type="dxa"/>
          </w:tblCellMar>
        </w:tblPrEx>
        <w:trPr>
          <w:trHeight w:val="566" w:hRule="atLeast"/>
          <w:jc w:val="center"/>
        </w:trPr>
        <w:tc>
          <w:tcPr>
            <w:tcW w:w="7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59326">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项目名称</w:t>
            </w:r>
          </w:p>
        </w:tc>
        <w:tc>
          <w:tcPr>
            <w:tcW w:w="4275"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D016C18">
            <w:pPr>
              <w:jc w:val="center"/>
              <w:rPr>
                <w:rFonts w:hint="eastAsia" w:ascii="仿宋" w:hAnsi="仿宋" w:eastAsia="仿宋" w:cs="仿宋"/>
                <w:color w:val="auto"/>
                <w:sz w:val="21"/>
                <w:szCs w:val="21"/>
                <w:highlight w:val="none"/>
              </w:rPr>
            </w:pPr>
          </w:p>
        </w:tc>
      </w:tr>
      <w:tr w14:paraId="4977EE2D">
        <w:tblPrEx>
          <w:tblCellMar>
            <w:top w:w="0" w:type="dxa"/>
            <w:left w:w="108" w:type="dxa"/>
            <w:bottom w:w="0" w:type="dxa"/>
            <w:right w:w="108" w:type="dxa"/>
          </w:tblCellMar>
        </w:tblPrEx>
        <w:trPr>
          <w:trHeight w:val="597" w:hRule="atLeast"/>
          <w:jc w:val="center"/>
        </w:trPr>
        <w:tc>
          <w:tcPr>
            <w:tcW w:w="7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B80A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主管部门</w:t>
            </w:r>
          </w:p>
        </w:tc>
        <w:tc>
          <w:tcPr>
            <w:tcW w:w="17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4705D2">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陕西省交通运输厅</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069BA">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实施单位</w:t>
            </w:r>
          </w:p>
        </w:tc>
        <w:tc>
          <w:tcPr>
            <w:tcW w:w="18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1E61A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陕西省道路运输事业发展中心</w:t>
            </w:r>
          </w:p>
        </w:tc>
      </w:tr>
      <w:tr w14:paraId="390F0B79">
        <w:tblPrEx>
          <w:tblCellMar>
            <w:top w:w="0" w:type="dxa"/>
            <w:left w:w="108" w:type="dxa"/>
            <w:bottom w:w="0" w:type="dxa"/>
            <w:right w:w="108" w:type="dxa"/>
          </w:tblCellMar>
        </w:tblPrEx>
        <w:trPr>
          <w:trHeight w:val="526" w:hRule="atLeast"/>
          <w:jc w:val="center"/>
        </w:trPr>
        <w:tc>
          <w:tcPr>
            <w:tcW w:w="7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70344">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项目资金</w:t>
            </w:r>
            <w:r>
              <w:rPr>
                <w:rFonts w:hint="eastAsia" w:ascii="仿宋" w:hAnsi="仿宋" w:eastAsia="仿宋" w:cs="仿宋"/>
                <w:color w:val="auto"/>
                <w:kern w:val="0"/>
                <w:sz w:val="21"/>
                <w:szCs w:val="21"/>
                <w:highlight w:val="none"/>
                <w:lang w:bidi="ar"/>
              </w:rPr>
              <w:br w:type="textWrapping"/>
            </w:r>
            <w:r>
              <w:rPr>
                <w:rFonts w:hint="eastAsia" w:ascii="仿宋" w:hAnsi="仿宋" w:eastAsia="仿宋" w:cs="仿宋"/>
                <w:color w:val="auto"/>
                <w:kern w:val="0"/>
                <w:sz w:val="21"/>
                <w:szCs w:val="21"/>
                <w:highlight w:val="none"/>
                <w:lang w:bidi="ar"/>
              </w:rPr>
              <w:t>（万元）</w:t>
            </w: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8E50B">
            <w:pPr>
              <w:jc w:val="center"/>
              <w:rPr>
                <w:rFonts w:hint="eastAsia" w:ascii="仿宋" w:hAnsi="仿宋" w:eastAsia="仿宋" w:cs="仿宋"/>
                <w:color w:val="auto"/>
                <w:sz w:val="21"/>
                <w:szCs w:val="21"/>
                <w:highlight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B5AFF">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年初预算数</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9046E">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全年预算数</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F2FAD">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全年执行数</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F1020">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分值</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A4C58">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执行率</w:t>
            </w:r>
          </w:p>
        </w:tc>
        <w:tc>
          <w:tcPr>
            <w:tcW w:w="9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BE98C7">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得分</w:t>
            </w:r>
          </w:p>
        </w:tc>
      </w:tr>
      <w:tr w14:paraId="5ADF8028">
        <w:tblPrEx>
          <w:tblCellMar>
            <w:top w:w="0" w:type="dxa"/>
            <w:left w:w="108" w:type="dxa"/>
            <w:bottom w:w="0" w:type="dxa"/>
            <w:right w:w="108" w:type="dxa"/>
          </w:tblCellMar>
        </w:tblPrEx>
        <w:trPr>
          <w:trHeight w:val="526"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AAC4A2">
            <w:pPr>
              <w:jc w:val="center"/>
              <w:rPr>
                <w:rFonts w:hint="eastAsia" w:ascii="仿宋" w:hAnsi="仿宋" w:eastAsia="仿宋" w:cs="仿宋"/>
                <w:color w:val="auto"/>
                <w:sz w:val="21"/>
                <w:szCs w:val="21"/>
                <w:highlight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EAEB6">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年度资金总额：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7C82A8">
            <w:pP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D4AAC0">
            <w:pP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A30E62">
            <w:pP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7D454E">
            <w:pP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F16C7D">
            <w:pP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F53B33">
            <w:pP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E8F56">
            <w:pPr>
              <w:jc w:val="center"/>
              <w:rPr>
                <w:rFonts w:hint="eastAsia" w:ascii="仿宋" w:hAnsi="仿宋" w:eastAsia="仿宋" w:cs="仿宋"/>
                <w:color w:val="auto"/>
                <w:sz w:val="21"/>
                <w:szCs w:val="21"/>
                <w:highlight w:val="none"/>
              </w:rPr>
            </w:pPr>
          </w:p>
        </w:tc>
      </w:tr>
      <w:tr w14:paraId="57978987">
        <w:tblPrEx>
          <w:tblCellMar>
            <w:top w:w="0" w:type="dxa"/>
            <w:left w:w="108" w:type="dxa"/>
            <w:bottom w:w="0" w:type="dxa"/>
            <w:right w:w="108" w:type="dxa"/>
          </w:tblCellMar>
        </w:tblPrEx>
        <w:trPr>
          <w:trHeight w:val="526"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C9F78">
            <w:pPr>
              <w:jc w:val="center"/>
              <w:rPr>
                <w:rFonts w:hint="eastAsia" w:ascii="仿宋" w:hAnsi="仿宋" w:eastAsia="仿宋" w:cs="仿宋"/>
                <w:color w:val="auto"/>
                <w:sz w:val="21"/>
                <w:szCs w:val="21"/>
                <w:highlight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AF8E9">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其中：当年财政拨款</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408EE7">
            <w:pP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761521">
            <w:pP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77F95A">
            <w:pP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C1BDC1">
            <w:pP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FF38A8">
            <w:pP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861AD8">
            <w:pP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3C2D6">
            <w:pPr>
              <w:jc w:val="center"/>
              <w:rPr>
                <w:rFonts w:hint="eastAsia" w:ascii="仿宋" w:hAnsi="仿宋" w:eastAsia="仿宋" w:cs="仿宋"/>
                <w:color w:val="auto"/>
                <w:sz w:val="21"/>
                <w:szCs w:val="21"/>
                <w:highlight w:val="none"/>
              </w:rPr>
            </w:pPr>
          </w:p>
        </w:tc>
      </w:tr>
      <w:tr w14:paraId="1206DC0F">
        <w:tblPrEx>
          <w:tblCellMar>
            <w:top w:w="0" w:type="dxa"/>
            <w:left w:w="108" w:type="dxa"/>
            <w:bottom w:w="0" w:type="dxa"/>
            <w:right w:w="108" w:type="dxa"/>
          </w:tblCellMar>
        </w:tblPrEx>
        <w:trPr>
          <w:trHeight w:val="526"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3B902">
            <w:pPr>
              <w:jc w:val="center"/>
              <w:rPr>
                <w:rFonts w:hint="eastAsia" w:ascii="仿宋" w:hAnsi="仿宋" w:eastAsia="仿宋" w:cs="仿宋"/>
                <w:color w:val="auto"/>
                <w:sz w:val="21"/>
                <w:szCs w:val="21"/>
                <w:highlight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F63D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上年结转资金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E42D4A">
            <w:pP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305E67">
            <w:pP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EA3954">
            <w:pP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65E672">
            <w:pP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A30AE7">
            <w:pP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A4B094">
            <w:pP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9265B">
            <w:pPr>
              <w:jc w:val="center"/>
              <w:rPr>
                <w:rFonts w:hint="eastAsia" w:ascii="仿宋" w:hAnsi="仿宋" w:eastAsia="仿宋" w:cs="仿宋"/>
                <w:color w:val="auto"/>
                <w:sz w:val="21"/>
                <w:szCs w:val="21"/>
                <w:highlight w:val="none"/>
              </w:rPr>
            </w:pPr>
          </w:p>
        </w:tc>
      </w:tr>
      <w:tr w14:paraId="2B495910">
        <w:tblPrEx>
          <w:tblCellMar>
            <w:top w:w="0" w:type="dxa"/>
            <w:left w:w="108" w:type="dxa"/>
            <w:bottom w:w="0" w:type="dxa"/>
            <w:right w:w="108" w:type="dxa"/>
          </w:tblCellMar>
        </w:tblPrEx>
        <w:trPr>
          <w:trHeight w:val="58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18C04">
            <w:pPr>
              <w:jc w:val="center"/>
              <w:rPr>
                <w:rFonts w:hint="eastAsia" w:ascii="仿宋" w:hAnsi="仿宋" w:eastAsia="仿宋" w:cs="仿宋"/>
                <w:color w:val="auto"/>
                <w:sz w:val="21"/>
                <w:szCs w:val="21"/>
                <w:highlight w:val="none"/>
              </w:rPr>
            </w:pPr>
          </w:p>
        </w:tc>
        <w:tc>
          <w:tcPr>
            <w:tcW w:w="677" w:type="pct"/>
            <w:tcBorders>
              <w:top w:val="single" w:color="000000" w:sz="4" w:space="0"/>
              <w:left w:val="single" w:color="000000" w:sz="4" w:space="0"/>
              <w:bottom w:val="nil"/>
              <w:right w:val="single" w:color="000000" w:sz="4" w:space="0"/>
            </w:tcBorders>
            <w:shd w:val="clear" w:color="auto" w:fill="auto"/>
            <w:vAlign w:val="center"/>
          </w:tcPr>
          <w:p w14:paraId="39D74E5B">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其他资金</w:t>
            </w:r>
          </w:p>
        </w:tc>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AABE61">
            <w:pP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7F7F12">
            <w:pP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78FB72">
            <w:pP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8957F8">
            <w:pP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170991">
            <w:pP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AD3879">
            <w:pP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nil"/>
              <w:right w:val="single" w:color="000000" w:sz="4" w:space="0"/>
            </w:tcBorders>
            <w:shd w:val="clear" w:color="auto" w:fill="auto"/>
            <w:vAlign w:val="center"/>
          </w:tcPr>
          <w:p w14:paraId="3DB40B45">
            <w:pPr>
              <w:jc w:val="center"/>
              <w:rPr>
                <w:rFonts w:hint="eastAsia" w:ascii="仿宋" w:hAnsi="仿宋" w:eastAsia="仿宋" w:cs="仿宋"/>
                <w:color w:val="auto"/>
                <w:sz w:val="21"/>
                <w:szCs w:val="21"/>
                <w:highlight w:val="none"/>
              </w:rPr>
            </w:pPr>
          </w:p>
        </w:tc>
      </w:tr>
      <w:tr w14:paraId="03C3831D">
        <w:tblPrEx>
          <w:tblCellMar>
            <w:top w:w="0" w:type="dxa"/>
            <w:left w:w="108" w:type="dxa"/>
            <w:bottom w:w="0" w:type="dxa"/>
            <w:right w:w="108" w:type="dxa"/>
          </w:tblCellMar>
        </w:tblPrEx>
        <w:trPr>
          <w:trHeight w:val="398" w:hRule="atLeast"/>
          <w:jc w:val="center"/>
        </w:trPr>
        <w:tc>
          <w:tcPr>
            <w:tcW w:w="7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114C8C">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年度总体目标完成情况</w:t>
            </w:r>
          </w:p>
        </w:tc>
        <w:tc>
          <w:tcPr>
            <w:tcW w:w="17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D646BA">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 xml:space="preserve"> 预期目标</w:t>
            </w:r>
          </w:p>
        </w:tc>
        <w:tc>
          <w:tcPr>
            <w:tcW w:w="252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AD2A7A">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实际完成情况</w:t>
            </w:r>
          </w:p>
        </w:tc>
      </w:tr>
      <w:tr w14:paraId="16447885">
        <w:tblPrEx>
          <w:tblCellMar>
            <w:top w:w="0" w:type="dxa"/>
            <w:left w:w="108" w:type="dxa"/>
            <w:bottom w:w="0" w:type="dxa"/>
            <w:right w:w="108" w:type="dxa"/>
          </w:tblCellMar>
        </w:tblPrEx>
        <w:trPr>
          <w:trHeight w:val="1014"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82965">
            <w:pPr>
              <w:jc w:val="center"/>
              <w:rPr>
                <w:rFonts w:hint="eastAsia" w:ascii="仿宋" w:hAnsi="仿宋" w:eastAsia="仿宋" w:cs="仿宋"/>
                <w:color w:val="auto"/>
                <w:sz w:val="21"/>
                <w:szCs w:val="21"/>
                <w:highlight w:val="none"/>
              </w:rPr>
            </w:pPr>
          </w:p>
        </w:tc>
        <w:tc>
          <w:tcPr>
            <w:tcW w:w="1751" w:type="pct"/>
            <w:gridSpan w:val="3"/>
            <w:tcBorders>
              <w:top w:val="single" w:color="000000" w:sz="4" w:space="0"/>
              <w:left w:val="single" w:color="000000" w:sz="4" w:space="0"/>
              <w:bottom w:val="single" w:color="000000" w:sz="4" w:space="0"/>
              <w:right w:val="single" w:color="000000" w:sz="4" w:space="0"/>
            </w:tcBorders>
            <w:shd w:val="clear" w:color="auto" w:fill="auto"/>
          </w:tcPr>
          <w:p w14:paraId="331D99DB">
            <w:pPr>
              <w:jc w:val="center"/>
              <w:rPr>
                <w:rFonts w:hint="eastAsia" w:ascii="仿宋" w:hAnsi="仿宋" w:eastAsia="仿宋" w:cs="仿宋"/>
                <w:color w:val="auto"/>
                <w:sz w:val="21"/>
                <w:szCs w:val="21"/>
                <w:highlight w:val="none"/>
              </w:rPr>
            </w:pPr>
          </w:p>
        </w:tc>
        <w:tc>
          <w:tcPr>
            <w:tcW w:w="2523" w:type="pct"/>
            <w:gridSpan w:val="5"/>
            <w:tcBorders>
              <w:top w:val="single" w:color="000000" w:sz="4" w:space="0"/>
              <w:left w:val="single" w:color="000000" w:sz="4" w:space="0"/>
              <w:bottom w:val="single" w:color="000000" w:sz="4" w:space="0"/>
              <w:right w:val="single" w:color="000000" w:sz="4" w:space="0"/>
            </w:tcBorders>
            <w:shd w:val="clear" w:color="auto" w:fill="auto"/>
          </w:tcPr>
          <w:p w14:paraId="370AFAF3">
            <w:pPr>
              <w:jc w:val="center"/>
              <w:rPr>
                <w:rFonts w:hint="eastAsia" w:ascii="仿宋" w:hAnsi="仿宋" w:eastAsia="仿宋" w:cs="仿宋"/>
                <w:color w:val="auto"/>
                <w:sz w:val="21"/>
                <w:szCs w:val="21"/>
                <w:highlight w:val="none"/>
              </w:rPr>
            </w:pPr>
          </w:p>
        </w:tc>
      </w:tr>
      <w:tr w14:paraId="5CFB81F0">
        <w:tblPrEx>
          <w:tblCellMar>
            <w:top w:w="0" w:type="dxa"/>
            <w:left w:w="108" w:type="dxa"/>
            <w:bottom w:w="0" w:type="dxa"/>
            <w:right w:w="108" w:type="dxa"/>
          </w:tblCellMar>
        </w:tblPrEx>
        <w:trPr>
          <w:trHeight w:val="1044" w:hRule="atLeast"/>
          <w:jc w:val="center"/>
        </w:trPr>
        <w:tc>
          <w:tcPr>
            <w:tcW w:w="7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EA7BB2">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绩效指标</w:t>
            </w:r>
          </w:p>
        </w:tc>
        <w:tc>
          <w:tcPr>
            <w:tcW w:w="677" w:type="pct"/>
            <w:tcBorders>
              <w:top w:val="nil"/>
              <w:left w:val="single" w:color="000000" w:sz="4" w:space="0"/>
              <w:bottom w:val="single" w:color="000000" w:sz="4" w:space="0"/>
              <w:right w:val="single" w:color="000000" w:sz="4" w:space="0"/>
            </w:tcBorders>
            <w:shd w:val="clear" w:color="auto" w:fill="auto"/>
            <w:vAlign w:val="center"/>
          </w:tcPr>
          <w:p w14:paraId="6BB79A2C">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一级指标</w:t>
            </w:r>
          </w:p>
        </w:tc>
        <w:tc>
          <w:tcPr>
            <w:tcW w:w="515" w:type="pct"/>
            <w:tcBorders>
              <w:top w:val="nil"/>
              <w:left w:val="single" w:color="000000" w:sz="4" w:space="0"/>
              <w:bottom w:val="single" w:color="000000" w:sz="4" w:space="0"/>
              <w:right w:val="single" w:color="000000" w:sz="4" w:space="0"/>
            </w:tcBorders>
            <w:shd w:val="clear" w:color="auto" w:fill="auto"/>
            <w:vAlign w:val="center"/>
          </w:tcPr>
          <w:p w14:paraId="6BAB7EDE">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二级指标</w:t>
            </w:r>
          </w:p>
        </w:tc>
        <w:tc>
          <w:tcPr>
            <w:tcW w:w="559" w:type="pct"/>
            <w:tcBorders>
              <w:top w:val="nil"/>
              <w:left w:val="single" w:color="000000" w:sz="4" w:space="0"/>
              <w:bottom w:val="single" w:color="000000" w:sz="4" w:space="0"/>
              <w:right w:val="single" w:color="000000" w:sz="4" w:space="0"/>
            </w:tcBorders>
            <w:shd w:val="clear" w:color="auto" w:fill="auto"/>
            <w:vAlign w:val="center"/>
          </w:tcPr>
          <w:p w14:paraId="1C09FBA2">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三级指标</w:t>
            </w:r>
          </w:p>
        </w:tc>
        <w:tc>
          <w:tcPr>
            <w:tcW w:w="635" w:type="pct"/>
            <w:tcBorders>
              <w:top w:val="nil"/>
              <w:left w:val="single" w:color="000000" w:sz="4" w:space="0"/>
              <w:bottom w:val="single" w:color="000000" w:sz="4" w:space="0"/>
              <w:right w:val="single" w:color="000000" w:sz="4" w:space="0"/>
            </w:tcBorders>
            <w:shd w:val="clear" w:color="auto" w:fill="auto"/>
            <w:vAlign w:val="center"/>
          </w:tcPr>
          <w:p w14:paraId="509614C9">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 xml:space="preserve">年度指标值 </w:t>
            </w:r>
          </w:p>
        </w:tc>
        <w:tc>
          <w:tcPr>
            <w:tcW w:w="484" w:type="pct"/>
            <w:tcBorders>
              <w:top w:val="nil"/>
              <w:left w:val="single" w:color="000000" w:sz="4" w:space="0"/>
              <w:bottom w:val="single" w:color="000000" w:sz="4" w:space="0"/>
              <w:right w:val="single" w:color="000000" w:sz="4" w:space="0"/>
            </w:tcBorders>
            <w:shd w:val="clear" w:color="auto" w:fill="auto"/>
            <w:vAlign w:val="center"/>
          </w:tcPr>
          <w:p w14:paraId="0914D0A7">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 xml:space="preserve">实际完成值 </w:t>
            </w:r>
          </w:p>
        </w:tc>
        <w:tc>
          <w:tcPr>
            <w:tcW w:w="468" w:type="pct"/>
            <w:tcBorders>
              <w:top w:val="nil"/>
              <w:left w:val="single" w:color="000000" w:sz="4" w:space="0"/>
              <w:bottom w:val="single" w:color="000000" w:sz="4" w:space="0"/>
              <w:right w:val="single" w:color="000000" w:sz="4" w:space="0"/>
            </w:tcBorders>
            <w:shd w:val="clear" w:color="auto" w:fill="auto"/>
            <w:vAlign w:val="center"/>
          </w:tcPr>
          <w:p w14:paraId="63829411">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 xml:space="preserve">分值 </w:t>
            </w:r>
          </w:p>
        </w:tc>
        <w:tc>
          <w:tcPr>
            <w:tcW w:w="437" w:type="pct"/>
            <w:tcBorders>
              <w:top w:val="nil"/>
              <w:left w:val="single" w:color="000000" w:sz="4" w:space="0"/>
              <w:bottom w:val="single" w:color="000000" w:sz="4" w:space="0"/>
              <w:right w:val="single" w:color="000000" w:sz="4" w:space="0"/>
            </w:tcBorders>
            <w:shd w:val="clear" w:color="auto" w:fill="auto"/>
            <w:vAlign w:val="center"/>
          </w:tcPr>
          <w:p w14:paraId="2DF222F6">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 xml:space="preserve">得分 </w:t>
            </w:r>
          </w:p>
        </w:tc>
        <w:tc>
          <w:tcPr>
            <w:tcW w:w="498" w:type="pct"/>
            <w:tcBorders>
              <w:top w:val="nil"/>
              <w:left w:val="single" w:color="000000" w:sz="4" w:space="0"/>
              <w:bottom w:val="single" w:color="000000" w:sz="4" w:space="0"/>
              <w:right w:val="single" w:color="000000" w:sz="4" w:space="0"/>
            </w:tcBorders>
            <w:shd w:val="clear" w:color="auto" w:fill="auto"/>
            <w:vAlign w:val="center"/>
          </w:tcPr>
          <w:p w14:paraId="01D4355B">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偏差原因分析及改进措施</w:t>
            </w:r>
          </w:p>
        </w:tc>
      </w:tr>
      <w:tr w14:paraId="2F84CE8F">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81B6A">
            <w:pPr>
              <w:jc w:val="center"/>
              <w:rPr>
                <w:rFonts w:hint="eastAsia" w:ascii="仿宋" w:hAnsi="仿宋" w:eastAsia="仿宋" w:cs="仿宋"/>
                <w:color w:val="auto"/>
                <w:sz w:val="21"/>
                <w:szCs w:val="21"/>
                <w:highlight w:val="none"/>
              </w:rPr>
            </w:pPr>
          </w:p>
        </w:tc>
        <w:tc>
          <w:tcPr>
            <w:tcW w:w="6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7A6DE">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产出指标</w:t>
            </w:r>
            <w:r>
              <w:rPr>
                <w:rFonts w:hint="eastAsia" w:ascii="仿宋" w:hAnsi="仿宋" w:eastAsia="仿宋" w:cs="仿宋"/>
                <w:color w:val="auto"/>
                <w:kern w:val="0"/>
                <w:sz w:val="21"/>
                <w:szCs w:val="21"/>
                <w:highlight w:val="none"/>
                <w:lang w:bidi="ar"/>
              </w:rPr>
              <w:br w:type="textWrapping"/>
            </w:r>
            <w:r>
              <w:rPr>
                <w:rFonts w:hint="eastAsia" w:ascii="仿宋" w:hAnsi="仿宋" w:eastAsia="仿宋" w:cs="仿宋"/>
                <w:color w:val="auto"/>
                <w:kern w:val="0"/>
                <w:sz w:val="21"/>
                <w:szCs w:val="21"/>
                <w:highlight w:val="none"/>
                <w:lang w:bidi="ar"/>
              </w:rPr>
              <w:t>(50分)</w:t>
            </w: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6B608F">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数量指标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C8720">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EF026">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CC606">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546BD">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95085">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006A4">
            <w:pPr>
              <w:jc w:val="center"/>
              <w:rPr>
                <w:rFonts w:hint="eastAsia" w:ascii="仿宋" w:hAnsi="仿宋" w:eastAsia="仿宋" w:cs="仿宋"/>
                <w:color w:val="auto"/>
                <w:sz w:val="21"/>
                <w:szCs w:val="21"/>
                <w:highlight w:val="none"/>
              </w:rPr>
            </w:pPr>
          </w:p>
        </w:tc>
      </w:tr>
      <w:tr w14:paraId="094C990F">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72789">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F290B">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7602D">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5FC04">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488A9">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F8B15">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A66DA">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697AD">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0099F">
            <w:pPr>
              <w:jc w:val="center"/>
              <w:rPr>
                <w:rFonts w:hint="eastAsia" w:ascii="仿宋" w:hAnsi="仿宋" w:eastAsia="仿宋" w:cs="仿宋"/>
                <w:color w:val="auto"/>
                <w:sz w:val="21"/>
                <w:szCs w:val="21"/>
                <w:highlight w:val="none"/>
              </w:rPr>
            </w:pPr>
          </w:p>
        </w:tc>
      </w:tr>
      <w:tr w14:paraId="1102AFB3">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32560">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2F8EB">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5D472">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876A7">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21734">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D6E85">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B7B11">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6EB04">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C9D02">
            <w:pPr>
              <w:jc w:val="center"/>
              <w:rPr>
                <w:rFonts w:hint="eastAsia" w:ascii="仿宋" w:hAnsi="仿宋" w:eastAsia="仿宋" w:cs="仿宋"/>
                <w:color w:val="auto"/>
                <w:sz w:val="21"/>
                <w:szCs w:val="21"/>
                <w:highlight w:val="none"/>
              </w:rPr>
            </w:pPr>
          </w:p>
        </w:tc>
      </w:tr>
      <w:tr w14:paraId="3C236900">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3C6B3">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D881C">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A9B39">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7A90E">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60B72">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BB931">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C5B87">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B7032">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42E01">
            <w:pPr>
              <w:jc w:val="center"/>
              <w:rPr>
                <w:rFonts w:hint="eastAsia" w:ascii="仿宋" w:hAnsi="仿宋" w:eastAsia="仿宋" w:cs="仿宋"/>
                <w:color w:val="auto"/>
                <w:sz w:val="21"/>
                <w:szCs w:val="21"/>
                <w:highlight w:val="none"/>
              </w:rPr>
            </w:pPr>
          </w:p>
        </w:tc>
      </w:tr>
      <w:tr w14:paraId="4AD83C87">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BC247">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F5007">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E6790">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09325">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23273">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FD56B">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46B1E">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15E08">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72CC1">
            <w:pPr>
              <w:jc w:val="center"/>
              <w:rPr>
                <w:rFonts w:hint="eastAsia" w:ascii="仿宋" w:hAnsi="仿宋" w:eastAsia="仿宋" w:cs="仿宋"/>
                <w:color w:val="auto"/>
                <w:sz w:val="21"/>
                <w:szCs w:val="21"/>
                <w:highlight w:val="none"/>
              </w:rPr>
            </w:pPr>
          </w:p>
        </w:tc>
      </w:tr>
      <w:tr w14:paraId="76770C44">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A36EC">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53687">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1A56A">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B8D3A">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62EB4">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74313">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8EFC3">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07CE0">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6F5A3">
            <w:pPr>
              <w:jc w:val="center"/>
              <w:rPr>
                <w:rFonts w:hint="eastAsia" w:ascii="仿宋" w:hAnsi="仿宋" w:eastAsia="仿宋" w:cs="仿宋"/>
                <w:color w:val="auto"/>
                <w:sz w:val="21"/>
                <w:szCs w:val="21"/>
                <w:highlight w:val="none"/>
              </w:rPr>
            </w:pPr>
          </w:p>
        </w:tc>
      </w:tr>
      <w:tr w14:paraId="396986D4">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5AE65">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ED92C">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223E5">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E0211">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24E7B">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081A4">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79260">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7E87A">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50E1E">
            <w:pPr>
              <w:jc w:val="center"/>
              <w:rPr>
                <w:rFonts w:hint="eastAsia" w:ascii="仿宋" w:hAnsi="仿宋" w:eastAsia="仿宋" w:cs="仿宋"/>
                <w:color w:val="auto"/>
                <w:sz w:val="21"/>
                <w:szCs w:val="21"/>
                <w:highlight w:val="none"/>
              </w:rPr>
            </w:pPr>
          </w:p>
        </w:tc>
      </w:tr>
      <w:tr w14:paraId="57F30747">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AFCBE">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9B540">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5BCAC">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1B81">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129AC">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DBF3B">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FB37B">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41963">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69F34">
            <w:pPr>
              <w:jc w:val="center"/>
              <w:rPr>
                <w:rFonts w:hint="eastAsia" w:ascii="仿宋" w:hAnsi="仿宋" w:eastAsia="仿宋" w:cs="仿宋"/>
                <w:color w:val="auto"/>
                <w:sz w:val="21"/>
                <w:szCs w:val="21"/>
                <w:highlight w:val="none"/>
              </w:rPr>
            </w:pPr>
          </w:p>
        </w:tc>
      </w:tr>
      <w:tr w14:paraId="70161DC0">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28404">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FF61D">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83768">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20F83">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571EF">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87F58">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C01B4">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3C232">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10408">
            <w:pPr>
              <w:jc w:val="center"/>
              <w:rPr>
                <w:rFonts w:hint="eastAsia" w:ascii="仿宋" w:hAnsi="仿宋" w:eastAsia="仿宋" w:cs="仿宋"/>
                <w:color w:val="auto"/>
                <w:sz w:val="21"/>
                <w:szCs w:val="21"/>
                <w:highlight w:val="none"/>
              </w:rPr>
            </w:pPr>
          </w:p>
        </w:tc>
      </w:tr>
      <w:tr w14:paraId="037ECE4B">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598F7">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EAF45">
            <w:pPr>
              <w:jc w:val="center"/>
              <w:rPr>
                <w:rFonts w:hint="eastAsia" w:ascii="仿宋" w:hAnsi="仿宋" w:eastAsia="仿宋" w:cs="仿宋"/>
                <w:color w:val="auto"/>
                <w:sz w:val="21"/>
                <w:szCs w:val="21"/>
                <w:highlight w:val="none"/>
              </w:rPr>
            </w:pP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B27B9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质量指标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562D9">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E4907">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F2436">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7F954">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FFB66">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3A882">
            <w:pPr>
              <w:jc w:val="center"/>
              <w:rPr>
                <w:rFonts w:hint="eastAsia" w:ascii="仿宋" w:hAnsi="仿宋" w:eastAsia="仿宋" w:cs="仿宋"/>
                <w:color w:val="auto"/>
                <w:sz w:val="21"/>
                <w:szCs w:val="21"/>
                <w:highlight w:val="none"/>
              </w:rPr>
            </w:pPr>
          </w:p>
        </w:tc>
      </w:tr>
      <w:tr w14:paraId="588EB236">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C058E">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F4503">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C8738">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CC032">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555BC">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75EBB">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1B135">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F5D7B">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9600E">
            <w:pPr>
              <w:jc w:val="center"/>
              <w:rPr>
                <w:rFonts w:hint="eastAsia" w:ascii="仿宋" w:hAnsi="仿宋" w:eastAsia="仿宋" w:cs="仿宋"/>
                <w:color w:val="auto"/>
                <w:sz w:val="21"/>
                <w:szCs w:val="21"/>
                <w:highlight w:val="none"/>
              </w:rPr>
            </w:pPr>
          </w:p>
        </w:tc>
      </w:tr>
      <w:tr w14:paraId="111F9DAD">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31E32">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C572C">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8A038">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92F14">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A3E02">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3EAAA">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F98F4">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B0CB5">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69CE8">
            <w:pPr>
              <w:jc w:val="center"/>
              <w:rPr>
                <w:rFonts w:hint="eastAsia" w:ascii="仿宋" w:hAnsi="仿宋" w:eastAsia="仿宋" w:cs="仿宋"/>
                <w:color w:val="auto"/>
                <w:sz w:val="21"/>
                <w:szCs w:val="21"/>
                <w:highlight w:val="none"/>
              </w:rPr>
            </w:pPr>
          </w:p>
        </w:tc>
      </w:tr>
      <w:tr w14:paraId="7B7705F8">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BC811">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67D2A">
            <w:pPr>
              <w:jc w:val="center"/>
              <w:rPr>
                <w:rFonts w:hint="eastAsia" w:ascii="仿宋" w:hAnsi="仿宋" w:eastAsia="仿宋" w:cs="仿宋"/>
                <w:color w:val="auto"/>
                <w:sz w:val="21"/>
                <w:szCs w:val="21"/>
                <w:highlight w:val="none"/>
              </w:rPr>
            </w:pP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26A2D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时效指标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24EEF">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53D42">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959A7">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DA8E4">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71C13">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4DF87">
            <w:pPr>
              <w:jc w:val="center"/>
              <w:rPr>
                <w:rFonts w:hint="eastAsia" w:ascii="仿宋" w:hAnsi="仿宋" w:eastAsia="仿宋" w:cs="仿宋"/>
                <w:color w:val="auto"/>
                <w:sz w:val="21"/>
                <w:szCs w:val="21"/>
                <w:highlight w:val="none"/>
              </w:rPr>
            </w:pPr>
          </w:p>
        </w:tc>
      </w:tr>
      <w:tr w14:paraId="17841142">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DAEA2">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EB74F">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42253">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802FA">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56294">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0870C">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E2647">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99485">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B3C8D">
            <w:pPr>
              <w:jc w:val="center"/>
              <w:rPr>
                <w:rFonts w:hint="eastAsia" w:ascii="仿宋" w:hAnsi="仿宋" w:eastAsia="仿宋" w:cs="仿宋"/>
                <w:color w:val="auto"/>
                <w:sz w:val="21"/>
                <w:szCs w:val="21"/>
                <w:highlight w:val="none"/>
              </w:rPr>
            </w:pPr>
          </w:p>
        </w:tc>
      </w:tr>
      <w:tr w14:paraId="2B798BBA">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8DFFF">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BF6E1">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F3C45">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5EBC1">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56284">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81284">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F501A">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9884A">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FE5F2">
            <w:pPr>
              <w:jc w:val="center"/>
              <w:rPr>
                <w:rFonts w:hint="eastAsia" w:ascii="仿宋" w:hAnsi="仿宋" w:eastAsia="仿宋" w:cs="仿宋"/>
                <w:color w:val="auto"/>
                <w:sz w:val="21"/>
                <w:szCs w:val="21"/>
                <w:highlight w:val="none"/>
              </w:rPr>
            </w:pPr>
          </w:p>
        </w:tc>
      </w:tr>
      <w:tr w14:paraId="0B8D5AC6">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1CC4B">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30D21">
            <w:pPr>
              <w:jc w:val="center"/>
              <w:rPr>
                <w:rFonts w:hint="eastAsia" w:ascii="仿宋" w:hAnsi="仿宋" w:eastAsia="仿宋" w:cs="仿宋"/>
                <w:color w:val="auto"/>
                <w:sz w:val="21"/>
                <w:szCs w:val="21"/>
                <w:highlight w:val="none"/>
              </w:rPr>
            </w:pP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5BCC7F">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成本指标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B96ED">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30D92">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FF433">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ED500">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0DF34">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06468">
            <w:pPr>
              <w:jc w:val="center"/>
              <w:rPr>
                <w:rFonts w:hint="eastAsia" w:ascii="仿宋" w:hAnsi="仿宋" w:eastAsia="仿宋" w:cs="仿宋"/>
                <w:color w:val="auto"/>
                <w:sz w:val="21"/>
                <w:szCs w:val="21"/>
                <w:highlight w:val="none"/>
              </w:rPr>
            </w:pPr>
          </w:p>
        </w:tc>
      </w:tr>
      <w:tr w14:paraId="600B3037">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D3C21">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12914">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D7920">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0B92A">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A7053">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5327D">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1E460">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0866E">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AE247">
            <w:pPr>
              <w:jc w:val="center"/>
              <w:rPr>
                <w:rFonts w:hint="eastAsia" w:ascii="仿宋" w:hAnsi="仿宋" w:eastAsia="仿宋" w:cs="仿宋"/>
                <w:color w:val="auto"/>
                <w:sz w:val="21"/>
                <w:szCs w:val="21"/>
                <w:highlight w:val="none"/>
              </w:rPr>
            </w:pPr>
          </w:p>
        </w:tc>
      </w:tr>
      <w:tr w14:paraId="24B67EEE">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6D889">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6C502">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6689C">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5FA46">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9701E">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9F719">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37121">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E3EBC">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2A888">
            <w:pPr>
              <w:jc w:val="center"/>
              <w:rPr>
                <w:rFonts w:hint="eastAsia" w:ascii="仿宋" w:hAnsi="仿宋" w:eastAsia="仿宋" w:cs="仿宋"/>
                <w:color w:val="auto"/>
                <w:sz w:val="21"/>
                <w:szCs w:val="21"/>
                <w:highlight w:val="none"/>
              </w:rPr>
            </w:pPr>
          </w:p>
        </w:tc>
      </w:tr>
      <w:tr w14:paraId="086997AF">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B14D3">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E110B">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60B92">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0BD9B">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CAEA6">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919E2">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9C0BD">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EFC6B">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9A50D">
            <w:pPr>
              <w:jc w:val="center"/>
              <w:rPr>
                <w:rFonts w:hint="eastAsia" w:ascii="仿宋" w:hAnsi="仿宋" w:eastAsia="仿宋" w:cs="仿宋"/>
                <w:color w:val="auto"/>
                <w:sz w:val="21"/>
                <w:szCs w:val="21"/>
                <w:highlight w:val="none"/>
              </w:rPr>
            </w:pPr>
          </w:p>
        </w:tc>
      </w:tr>
      <w:tr w14:paraId="43BC1D62">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8E8C7">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C8502">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68187">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5AFDD">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6A313">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91D0F">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4F0DA">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93912">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20698">
            <w:pPr>
              <w:jc w:val="center"/>
              <w:rPr>
                <w:rFonts w:hint="eastAsia" w:ascii="仿宋" w:hAnsi="仿宋" w:eastAsia="仿宋" w:cs="仿宋"/>
                <w:color w:val="auto"/>
                <w:sz w:val="21"/>
                <w:szCs w:val="21"/>
                <w:highlight w:val="none"/>
              </w:rPr>
            </w:pPr>
          </w:p>
        </w:tc>
      </w:tr>
      <w:tr w14:paraId="4DB3C712">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243E3">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F5F8C">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1233D">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C8634">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C016E">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4235E">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6818F">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039A9">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FE5DC">
            <w:pPr>
              <w:jc w:val="center"/>
              <w:rPr>
                <w:rFonts w:hint="eastAsia" w:ascii="仿宋" w:hAnsi="仿宋" w:eastAsia="仿宋" w:cs="仿宋"/>
                <w:color w:val="auto"/>
                <w:sz w:val="21"/>
                <w:szCs w:val="21"/>
                <w:highlight w:val="none"/>
              </w:rPr>
            </w:pPr>
          </w:p>
        </w:tc>
      </w:tr>
      <w:tr w14:paraId="5E4C3960">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C78C1">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79F4C">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C80D2">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49A09">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1C125">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FFE37">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24BE6">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EDA3D">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02E7D">
            <w:pPr>
              <w:jc w:val="center"/>
              <w:rPr>
                <w:rFonts w:hint="eastAsia" w:ascii="仿宋" w:hAnsi="仿宋" w:eastAsia="仿宋" w:cs="仿宋"/>
                <w:color w:val="auto"/>
                <w:sz w:val="21"/>
                <w:szCs w:val="21"/>
                <w:highlight w:val="none"/>
              </w:rPr>
            </w:pPr>
          </w:p>
        </w:tc>
      </w:tr>
      <w:tr w14:paraId="2E49C212">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C8327">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E15D5">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28D93">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EF532">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31DE6">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F9AEF">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42EEC">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B2CF6">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7978A">
            <w:pPr>
              <w:jc w:val="center"/>
              <w:rPr>
                <w:rFonts w:hint="eastAsia" w:ascii="仿宋" w:hAnsi="仿宋" w:eastAsia="仿宋" w:cs="仿宋"/>
                <w:color w:val="auto"/>
                <w:sz w:val="21"/>
                <w:szCs w:val="21"/>
                <w:highlight w:val="none"/>
              </w:rPr>
            </w:pPr>
          </w:p>
        </w:tc>
      </w:tr>
      <w:tr w14:paraId="5F693E24">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85CAE">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9209D">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16B05">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0ACB1">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18400">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E0252">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198C9">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EFA25">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B9815">
            <w:pPr>
              <w:jc w:val="center"/>
              <w:rPr>
                <w:rFonts w:hint="eastAsia" w:ascii="仿宋" w:hAnsi="仿宋" w:eastAsia="仿宋" w:cs="仿宋"/>
                <w:color w:val="auto"/>
                <w:sz w:val="21"/>
                <w:szCs w:val="21"/>
                <w:highlight w:val="none"/>
              </w:rPr>
            </w:pPr>
          </w:p>
        </w:tc>
      </w:tr>
      <w:tr w14:paraId="4577B135">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BF809">
            <w:pPr>
              <w:jc w:val="center"/>
              <w:rPr>
                <w:rFonts w:hint="eastAsia" w:ascii="仿宋" w:hAnsi="仿宋" w:eastAsia="仿宋" w:cs="仿宋"/>
                <w:color w:val="auto"/>
                <w:sz w:val="21"/>
                <w:szCs w:val="21"/>
                <w:highlight w:val="none"/>
              </w:rPr>
            </w:pPr>
          </w:p>
        </w:tc>
        <w:tc>
          <w:tcPr>
            <w:tcW w:w="6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2C14F8">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效益指标</w:t>
            </w:r>
            <w:r>
              <w:rPr>
                <w:rFonts w:hint="eastAsia" w:ascii="仿宋" w:hAnsi="仿宋" w:eastAsia="仿宋" w:cs="仿宋"/>
                <w:color w:val="auto"/>
                <w:kern w:val="0"/>
                <w:sz w:val="21"/>
                <w:szCs w:val="21"/>
                <w:highlight w:val="none"/>
                <w:lang w:bidi="ar"/>
              </w:rPr>
              <w:br w:type="textWrapping"/>
            </w:r>
            <w:r>
              <w:rPr>
                <w:rFonts w:hint="eastAsia" w:ascii="仿宋" w:hAnsi="仿宋" w:eastAsia="仿宋" w:cs="仿宋"/>
                <w:color w:val="auto"/>
                <w:kern w:val="0"/>
                <w:sz w:val="21"/>
                <w:szCs w:val="21"/>
                <w:highlight w:val="none"/>
                <w:lang w:bidi="ar"/>
              </w:rPr>
              <w:t>(30分)</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F6C74">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经济效益指标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EA75B">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20591">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D7E56">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E5F8F">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F562C">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E0447">
            <w:pPr>
              <w:jc w:val="center"/>
              <w:rPr>
                <w:rFonts w:hint="eastAsia" w:ascii="仿宋" w:hAnsi="仿宋" w:eastAsia="仿宋" w:cs="仿宋"/>
                <w:color w:val="auto"/>
                <w:sz w:val="21"/>
                <w:szCs w:val="21"/>
                <w:highlight w:val="none"/>
              </w:rPr>
            </w:pPr>
          </w:p>
        </w:tc>
      </w:tr>
      <w:tr w14:paraId="093D7287">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B1777">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7C40C">
            <w:pPr>
              <w:jc w:val="center"/>
              <w:rPr>
                <w:rFonts w:hint="eastAsia" w:ascii="仿宋" w:hAnsi="仿宋" w:eastAsia="仿宋" w:cs="仿宋"/>
                <w:color w:val="auto"/>
                <w:sz w:val="21"/>
                <w:szCs w:val="21"/>
                <w:highlight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2CEC3">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社会效益指标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92ECA">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897BB">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F1BCB">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F69BA">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BF96A">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D5970">
            <w:pPr>
              <w:jc w:val="center"/>
              <w:rPr>
                <w:rFonts w:hint="eastAsia" w:ascii="仿宋" w:hAnsi="仿宋" w:eastAsia="仿宋" w:cs="仿宋"/>
                <w:color w:val="auto"/>
                <w:sz w:val="21"/>
                <w:szCs w:val="21"/>
                <w:highlight w:val="none"/>
              </w:rPr>
            </w:pPr>
          </w:p>
        </w:tc>
      </w:tr>
      <w:tr w14:paraId="78EB91C1">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FD8B8">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A6F83">
            <w:pPr>
              <w:jc w:val="center"/>
              <w:rPr>
                <w:rFonts w:hint="eastAsia" w:ascii="仿宋" w:hAnsi="仿宋" w:eastAsia="仿宋" w:cs="仿宋"/>
                <w:color w:val="auto"/>
                <w:sz w:val="21"/>
                <w:szCs w:val="21"/>
                <w:highlight w:val="none"/>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5B85A">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生态效益指标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EF0EB">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3DADA">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72134">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C5399">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439AD">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E5B2A">
            <w:pPr>
              <w:jc w:val="center"/>
              <w:rPr>
                <w:rFonts w:hint="eastAsia" w:ascii="仿宋" w:hAnsi="仿宋" w:eastAsia="仿宋" w:cs="仿宋"/>
                <w:color w:val="auto"/>
                <w:sz w:val="21"/>
                <w:szCs w:val="21"/>
                <w:highlight w:val="none"/>
              </w:rPr>
            </w:pPr>
          </w:p>
        </w:tc>
      </w:tr>
      <w:tr w14:paraId="6CE535F1">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95997">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4DC03">
            <w:pPr>
              <w:jc w:val="center"/>
              <w:rPr>
                <w:rFonts w:hint="eastAsia" w:ascii="仿宋" w:hAnsi="仿宋" w:eastAsia="仿宋" w:cs="仿宋"/>
                <w:color w:val="auto"/>
                <w:sz w:val="21"/>
                <w:szCs w:val="21"/>
                <w:highlight w:val="none"/>
              </w:rPr>
            </w:pP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C5117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可持续影响指标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D1B71">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4D952">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6B442">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D7521">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87FA5">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95CCF">
            <w:pPr>
              <w:jc w:val="center"/>
              <w:rPr>
                <w:rFonts w:hint="eastAsia" w:ascii="仿宋" w:hAnsi="仿宋" w:eastAsia="仿宋" w:cs="仿宋"/>
                <w:color w:val="auto"/>
                <w:sz w:val="21"/>
                <w:szCs w:val="21"/>
                <w:highlight w:val="none"/>
              </w:rPr>
            </w:pPr>
          </w:p>
        </w:tc>
      </w:tr>
      <w:tr w14:paraId="7DE420F7">
        <w:tblPrEx>
          <w:tblCellMar>
            <w:top w:w="0" w:type="dxa"/>
            <w:left w:w="108" w:type="dxa"/>
            <w:bottom w:w="0" w:type="dxa"/>
            <w:right w:w="108" w:type="dxa"/>
          </w:tblCellMar>
        </w:tblPrEx>
        <w:trPr>
          <w:trHeight w:val="73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52AB5">
            <w:pPr>
              <w:jc w:val="center"/>
              <w:rPr>
                <w:rFonts w:hint="eastAsia" w:ascii="仿宋" w:hAnsi="仿宋" w:eastAsia="仿宋" w:cs="仿宋"/>
                <w:color w:val="auto"/>
                <w:sz w:val="21"/>
                <w:szCs w:val="21"/>
                <w:highlight w:val="none"/>
              </w:rPr>
            </w:pPr>
          </w:p>
        </w:tc>
        <w:tc>
          <w:tcPr>
            <w:tcW w:w="6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45A00">
            <w:pPr>
              <w:jc w:val="center"/>
              <w:rPr>
                <w:rFonts w:hint="eastAsia" w:ascii="仿宋" w:hAnsi="仿宋" w:eastAsia="仿宋" w:cs="仿宋"/>
                <w:color w:val="auto"/>
                <w:sz w:val="21"/>
                <w:szCs w:val="21"/>
                <w:highlight w:val="none"/>
              </w:rPr>
            </w:pP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41D91">
            <w:pPr>
              <w:jc w:val="center"/>
              <w:rPr>
                <w:rFonts w:hint="eastAsia" w:ascii="仿宋" w:hAnsi="仿宋" w:eastAsia="仿宋" w:cs="仿宋"/>
                <w:color w:val="auto"/>
                <w:sz w:val="21"/>
                <w:szCs w:val="21"/>
                <w:highlight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923B6">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A4E71">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6129E">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C85BF">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B3A7A">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C61FB">
            <w:pPr>
              <w:jc w:val="center"/>
              <w:rPr>
                <w:rFonts w:hint="eastAsia" w:ascii="仿宋" w:hAnsi="仿宋" w:eastAsia="仿宋" w:cs="仿宋"/>
                <w:color w:val="auto"/>
                <w:sz w:val="21"/>
                <w:szCs w:val="21"/>
                <w:highlight w:val="none"/>
              </w:rPr>
            </w:pPr>
          </w:p>
        </w:tc>
      </w:tr>
      <w:tr w14:paraId="23FF4E0E">
        <w:tblPrEx>
          <w:tblCellMar>
            <w:top w:w="0" w:type="dxa"/>
            <w:left w:w="108" w:type="dxa"/>
            <w:bottom w:w="0" w:type="dxa"/>
            <w:right w:w="108" w:type="dxa"/>
          </w:tblCellMar>
        </w:tblPrEx>
        <w:trPr>
          <w:trHeight w:val="785" w:hRule="atLeast"/>
          <w:jc w:val="center"/>
        </w:trPr>
        <w:tc>
          <w:tcPr>
            <w:tcW w:w="7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DBAB6">
            <w:pPr>
              <w:jc w:val="center"/>
              <w:rPr>
                <w:rFonts w:hint="eastAsia" w:ascii="仿宋" w:hAnsi="仿宋" w:eastAsia="仿宋" w:cs="仿宋"/>
                <w:color w:val="auto"/>
                <w:sz w:val="21"/>
                <w:szCs w:val="21"/>
                <w:highlight w:val="none"/>
              </w:rPr>
            </w:pPr>
          </w:p>
        </w:tc>
        <w:tc>
          <w:tcPr>
            <w:tcW w:w="6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07116">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满意度指标</w:t>
            </w:r>
            <w:r>
              <w:rPr>
                <w:rFonts w:hint="eastAsia" w:ascii="仿宋" w:hAnsi="仿宋" w:eastAsia="仿宋" w:cs="仿宋"/>
                <w:color w:val="auto"/>
                <w:kern w:val="0"/>
                <w:sz w:val="21"/>
                <w:szCs w:val="21"/>
                <w:highlight w:val="none"/>
                <w:lang w:bidi="ar"/>
              </w:rPr>
              <w:br w:type="textWrapping"/>
            </w:r>
            <w:r>
              <w:rPr>
                <w:rFonts w:hint="eastAsia" w:ascii="仿宋" w:hAnsi="仿宋" w:eastAsia="仿宋" w:cs="仿宋"/>
                <w:color w:val="auto"/>
                <w:kern w:val="0"/>
                <w:sz w:val="21"/>
                <w:szCs w:val="21"/>
                <w:highlight w:val="none"/>
                <w:lang w:bidi="ar"/>
              </w:rPr>
              <w:t>(10分)</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B8224">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服务对象满意度指标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03A9F">
            <w:pPr>
              <w:jc w:val="center"/>
              <w:rPr>
                <w:rFonts w:hint="eastAsia" w:ascii="仿宋" w:hAnsi="仿宋" w:eastAsia="仿宋" w:cs="仿宋"/>
                <w:color w:val="auto"/>
                <w:sz w:val="21"/>
                <w:szCs w:val="21"/>
                <w:highlight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B1705">
            <w:pPr>
              <w:jc w:val="center"/>
              <w:rPr>
                <w:rFonts w:hint="eastAsia" w:ascii="仿宋" w:hAnsi="仿宋" w:eastAsia="仿宋" w:cs="仿宋"/>
                <w:color w:val="auto"/>
                <w:sz w:val="21"/>
                <w:szCs w:val="21"/>
                <w:highlight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B1185">
            <w:pPr>
              <w:jc w:val="center"/>
              <w:rPr>
                <w:rFonts w:hint="eastAsia" w:ascii="仿宋" w:hAnsi="仿宋" w:eastAsia="仿宋" w:cs="仿宋"/>
                <w:color w:val="auto"/>
                <w:sz w:val="21"/>
                <w:szCs w:val="21"/>
                <w:highlight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1995C">
            <w:pPr>
              <w:jc w:val="cente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22380">
            <w:pPr>
              <w:jc w:val="cente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2B3EC">
            <w:pPr>
              <w:jc w:val="center"/>
              <w:rPr>
                <w:rFonts w:hint="eastAsia" w:ascii="仿宋" w:hAnsi="仿宋" w:eastAsia="仿宋" w:cs="仿宋"/>
                <w:color w:val="auto"/>
                <w:sz w:val="21"/>
                <w:szCs w:val="21"/>
                <w:highlight w:val="none"/>
              </w:rPr>
            </w:pPr>
          </w:p>
        </w:tc>
      </w:tr>
      <w:tr w14:paraId="75AAC23D">
        <w:tblPrEx>
          <w:tblCellMar>
            <w:top w:w="0" w:type="dxa"/>
            <w:left w:w="108" w:type="dxa"/>
            <w:bottom w:w="0" w:type="dxa"/>
            <w:right w:w="108" w:type="dxa"/>
          </w:tblCellMar>
        </w:tblPrEx>
        <w:trPr>
          <w:trHeight w:val="694" w:hRule="atLeast"/>
          <w:jc w:val="center"/>
        </w:trPr>
        <w:tc>
          <w:tcPr>
            <w:tcW w:w="724"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E8CCE1">
            <w:pPr>
              <w:rPr>
                <w:rFonts w:hint="eastAsia" w:ascii="仿宋" w:hAnsi="仿宋" w:eastAsia="仿宋" w:cs="仿宋"/>
                <w:color w:val="auto"/>
                <w:sz w:val="21"/>
                <w:szCs w:val="21"/>
                <w:highlight w:val="none"/>
              </w:rPr>
            </w:pPr>
          </w:p>
        </w:tc>
        <w:tc>
          <w:tcPr>
            <w:tcW w:w="2871"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55676">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bidi="ar"/>
              </w:rPr>
              <w:t>总分</w:t>
            </w:r>
          </w:p>
        </w:tc>
        <w:tc>
          <w:tcPr>
            <w:tcW w:w="46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B5E9DA">
            <w:pPr>
              <w:rPr>
                <w:rFonts w:hint="eastAsia" w:ascii="仿宋" w:hAnsi="仿宋" w:eastAsia="仿宋" w:cs="仿宋"/>
                <w:color w:val="auto"/>
                <w:sz w:val="21"/>
                <w:szCs w:val="21"/>
                <w:highlight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tcPr>
          <w:p w14:paraId="473C2FDD">
            <w:pPr>
              <w:rPr>
                <w:rFonts w:hint="eastAsia" w:ascii="仿宋" w:hAnsi="仿宋" w:eastAsia="仿宋" w:cs="仿宋"/>
                <w:color w:val="auto"/>
                <w:sz w:val="21"/>
                <w:szCs w:val="21"/>
                <w:highlight w:val="none"/>
              </w:rPr>
            </w:pPr>
          </w:p>
        </w:tc>
        <w:tc>
          <w:tcPr>
            <w:tcW w:w="498" w:type="pct"/>
            <w:tcBorders>
              <w:top w:val="single" w:color="000000" w:sz="4" w:space="0"/>
              <w:left w:val="single" w:color="000000" w:sz="4" w:space="0"/>
              <w:bottom w:val="single" w:color="000000" w:sz="4" w:space="0"/>
              <w:right w:val="single" w:color="000000" w:sz="4" w:space="0"/>
            </w:tcBorders>
            <w:shd w:val="clear" w:color="auto" w:fill="auto"/>
          </w:tcPr>
          <w:p w14:paraId="2CBA0370">
            <w:pPr>
              <w:rPr>
                <w:rFonts w:hint="eastAsia" w:ascii="仿宋" w:hAnsi="仿宋" w:eastAsia="仿宋" w:cs="仿宋"/>
                <w:color w:val="auto"/>
                <w:sz w:val="21"/>
                <w:szCs w:val="21"/>
                <w:highlight w:val="none"/>
              </w:rPr>
            </w:pPr>
          </w:p>
        </w:tc>
      </w:tr>
    </w:tbl>
    <w:p w14:paraId="28AD86F9">
      <w:pPr>
        <w:pStyle w:val="8"/>
        <w:rPr>
          <w:rFonts w:hint="eastAsia" w:ascii="仿宋" w:hAnsi="仿宋" w:eastAsia="仿宋" w:cs="仿宋"/>
          <w:color w:val="auto"/>
          <w:highlight w:val="none"/>
          <w:lang w:val="en-US" w:eastAsia="zh-Hans"/>
        </w:rPr>
      </w:pPr>
    </w:p>
    <w:p w14:paraId="7CCEE08B">
      <w:bookmarkStart w:id="11" w:name="_GoBack"/>
      <w:bookmarkEnd w:id="11"/>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0A10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0FA4AD">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0FA4AD">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DD012"/>
    <w:multiLevelType w:val="singleLevel"/>
    <w:tmpl w:val="CCADD012"/>
    <w:lvl w:ilvl="0" w:tentative="0">
      <w:start w:val="9"/>
      <w:numFmt w:val="chineseCounting"/>
      <w:suff w:val="nothing"/>
      <w:lvlText w:val="%1、"/>
      <w:lvlJc w:val="left"/>
      <w:rPr>
        <w:rFonts w:hint="eastAsia"/>
      </w:rPr>
    </w:lvl>
  </w:abstractNum>
  <w:abstractNum w:abstractNumId="1">
    <w:nsid w:val="F10493C6"/>
    <w:multiLevelType w:val="singleLevel"/>
    <w:tmpl w:val="F10493C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96F39"/>
    <w:rsid w:val="15DA2023"/>
    <w:rsid w:val="2E103160"/>
    <w:rsid w:val="44596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Plain Text"/>
    <w:basedOn w:val="1"/>
    <w:qFormat/>
    <w:uiPriority w:val="0"/>
    <w:pPr>
      <w:spacing w:line="360" w:lineRule="auto"/>
    </w:pPr>
    <w:rPr>
      <w:rFonts w:ascii="宋体" w:hAnsi="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2025-09-29T08:53:00Z</dcterms:created>
  <dc:creator>豆、浆</dc:creator>
  <cp:lastModifiedBy>豆、浆</cp:lastModifiedBy>
  <dcterms:modified xsi:type="dcterms:W3CDTF">2025-09-29T08:53:55Z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F327A46F889E4741B07F4BE3EA8CC1C4_11</vt:lpwstr>
  </property>
  <property fmtid="{D5CDD505-2E9C-101B-9397-08002B2CF9AE}" pid="4" name="KSOTemplateDocerSaveRecord">
    <vt:lpwstr>eyJoZGlkIjoiYzAwNjk4NTUwMzAyYzU4YWZkOWU3NmQ3MmI1ZGZlMDMiLCJ1c2VySWQiOiIxMDY3MTk2NDE2In0=</vt:lpwstr>
  </property>
</Properties>
</file>