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BC4A2">
      <w:pPr>
        <w:spacing w:line="460" w:lineRule="exact"/>
        <w:jc w:val="center"/>
        <w:rPr>
          <w:rFonts w:hint="eastAsia" w:ascii="宋体" w:hAnsi="宋体" w:cs="宋体"/>
          <w:color w:val="0000FF"/>
          <w:sz w:val="40"/>
          <w:szCs w:val="40"/>
        </w:rPr>
      </w:pPr>
      <w:r>
        <w:rPr>
          <w:rFonts w:hint="eastAsia" w:ascii="宋体" w:hAnsi="宋体" w:cs="宋体"/>
          <w:color w:val="0000FF"/>
          <w:sz w:val="40"/>
          <w:szCs w:val="40"/>
        </w:rPr>
        <w:t>陕西青年职业学院密集书架采购（二次）</w:t>
      </w:r>
    </w:p>
    <w:p w14:paraId="23B335D2">
      <w:pPr>
        <w:spacing w:line="360" w:lineRule="auto"/>
        <w:jc w:val="center"/>
        <w:rPr>
          <w:rFonts w:hint="eastAsia" w:ascii="宋体" w:hAnsi="宋体" w:cs="宋体"/>
          <w:b/>
          <w:bCs/>
          <w:color w:val="0000FF"/>
          <w:spacing w:val="26"/>
          <w:sz w:val="36"/>
          <w:szCs w:val="36"/>
        </w:rPr>
      </w:pPr>
    </w:p>
    <w:p w14:paraId="2D249142">
      <w:pPr>
        <w:spacing w:line="360" w:lineRule="auto"/>
        <w:jc w:val="center"/>
        <w:rPr>
          <w:rFonts w:hint="eastAsia" w:ascii="宋体" w:hAnsi="宋体" w:cs="宋体"/>
          <w:b/>
          <w:bCs/>
          <w:color w:val="0000FF"/>
          <w:spacing w:val="26"/>
          <w:sz w:val="84"/>
          <w:szCs w:val="84"/>
        </w:rPr>
      </w:pPr>
    </w:p>
    <w:p w14:paraId="6EE54DE4">
      <w:pPr>
        <w:spacing w:line="360" w:lineRule="auto"/>
        <w:jc w:val="center"/>
        <w:rPr>
          <w:rFonts w:hint="eastAsia" w:ascii="宋体" w:hAnsi="宋体"/>
          <w:b/>
          <w:bCs/>
          <w:color w:val="0000FF"/>
          <w:sz w:val="84"/>
          <w:szCs w:val="84"/>
        </w:rPr>
      </w:pPr>
      <w:r>
        <w:rPr>
          <w:rFonts w:hint="eastAsia" w:ascii="宋体" w:hAnsi="宋体"/>
          <w:b/>
          <w:bCs/>
          <w:color w:val="0000FF"/>
          <w:sz w:val="84"/>
          <w:szCs w:val="84"/>
        </w:rPr>
        <w:t>采购合同</w:t>
      </w:r>
    </w:p>
    <w:p w14:paraId="6DEA1784">
      <w:pPr>
        <w:spacing w:line="360" w:lineRule="auto"/>
        <w:jc w:val="center"/>
        <w:rPr>
          <w:rFonts w:hint="eastAsia" w:ascii="宋体" w:hAnsi="宋体"/>
          <w:b/>
          <w:bCs/>
          <w:color w:val="0000FF"/>
          <w:sz w:val="32"/>
          <w:szCs w:val="32"/>
        </w:rPr>
      </w:pPr>
      <w:r>
        <w:rPr>
          <w:rFonts w:hint="eastAsia" w:ascii="宋体" w:hAnsi="宋体"/>
          <w:b/>
          <w:bCs/>
          <w:color w:val="0000FF"/>
          <w:sz w:val="32"/>
          <w:szCs w:val="32"/>
        </w:rPr>
        <w:t xml:space="preserve">项目编号： </w:t>
      </w:r>
    </w:p>
    <w:p w14:paraId="48950E2D">
      <w:pPr>
        <w:spacing w:line="360" w:lineRule="auto"/>
        <w:jc w:val="center"/>
        <w:rPr>
          <w:rFonts w:hint="eastAsia" w:ascii="宋体" w:hAnsi="宋体" w:cs="宋体"/>
          <w:b/>
          <w:bCs/>
          <w:color w:val="0000FF"/>
          <w:spacing w:val="26"/>
          <w:sz w:val="36"/>
          <w:szCs w:val="36"/>
        </w:rPr>
      </w:pPr>
    </w:p>
    <w:p w14:paraId="194DAB7E">
      <w:pPr>
        <w:spacing w:line="360" w:lineRule="auto"/>
        <w:rPr>
          <w:rFonts w:hint="eastAsia" w:ascii="宋体" w:hAnsi="宋体"/>
          <w:b/>
          <w:color w:val="0000FF"/>
          <w:sz w:val="32"/>
          <w:szCs w:val="32"/>
        </w:rPr>
      </w:pPr>
    </w:p>
    <w:p w14:paraId="53B8BDC4">
      <w:pPr>
        <w:spacing w:line="360" w:lineRule="auto"/>
        <w:rPr>
          <w:rFonts w:hint="eastAsia" w:ascii="宋体" w:hAnsi="宋体"/>
          <w:b/>
          <w:color w:val="0000FF"/>
          <w:sz w:val="32"/>
          <w:szCs w:val="32"/>
        </w:rPr>
      </w:pPr>
    </w:p>
    <w:p w14:paraId="7154DC7F">
      <w:pPr>
        <w:spacing w:line="360" w:lineRule="auto"/>
        <w:rPr>
          <w:rFonts w:hint="eastAsia" w:ascii="宋体" w:hAnsi="宋体"/>
          <w:b/>
          <w:color w:val="0000FF"/>
          <w:sz w:val="32"/>
          <w:szCs w:val="32"/>
        </w:rPr>
      </w:pPr>
    </w:p>
    <w:p w14:paraId="5F9BDB3D">
      <w:pPr>
        <w:spacing w:line="360" w:lineRule="auto"/>
        <w:rPr>
          <w:rFonts w:hint="eastAsia" w:ascii="宋体" w:hAnsi="宋体"/>
          <w:b/>
          <w:color w:val="0000FF"/>
          <w:sz w:val="32"/>
          <w:szCs w:val="32"/>
        </w:rPr>
      </w:pPr>
    </w:p>
    <w:p w14:paraId="79368A99">
      <w:pPr>
        <w:spacing w:line="360" w:lineRule="auto"/>
        <w:rPr>
          <w:rFonts w:hint="eastAsia" w:ascii="宋体" w:hAnsi="宋体"/>
          <w:b/>
          <w:color w:val="0000FF"/>
          <w:sz w:val="32"/>
          <w:szCs w:val="32"/>
        </w:rPr>
      </w:pPr>
    </w:p>
    <w:p w14:paraId="3C700ED0">
      <w:pPr>
        <w:spacing w:line="360" w:lineRule="auto"/>
        <w:ind w:firstLine="964" w:firstLineChars="300"/>
        <w:rPr>
          <w:rFonts w:hint="eastAsia" w:ascii="宋体" w:hAnsi="宋体"/>
          <w:b/>
          <w:bCs/>
          <w:color w:val="0000FF"/>
          <w:sz w:val="40"/>
          <w:szCs w:val="40"/>
          <w:u w:val="single"/>
        </w:rPr>
      </w:pPr>
      <w:r>
        <w:rPr>
          <w:rFonts w:hint="eastAsia" w:ascii="宋体" w:hAnsi="宋体" w:cs="宋体"/>
          <w:b/>
          <w:bCs/>
          <w:color w:val="0000FF"/>
          <w:sz w:val="32"/>
          <w:szCs w:val="32"/>
        </w:rPr>
        <w:t>甲方：</w:t>
      </w:r>
      <w:r>
        <w:rPr>
          <w:rFonts w:hint="eastAsia" w:ascii="宋体" w:hAnsi="宋体"/>
          <w:b/>
          <w:bCs/>
          <w:color w:val="0000FF"/>
          <w:sz w:val="40"/>
          <w:szCs w:val="40"/>
          <w:u w:val="single"/>
        </w:rPr>
        <w:t xml:space="preserve">                    </w:t>
      </w:r>
    </w:p>
    <w:p w14:paraId="31F50586">
      <w:pPr>
        <w:spacing w:line="360" w:lineRule="auto"/>
        <w:ind w:firstLine="964" w:firstLineChars="300"/>
        <w:rPr>
          <w:rFonts w:hint="eastAsia" w:ascii="宋体" w:hAnsi="宋体"/>
          <w:b/>
          <w:bCs/>
          <w:color w:val="0000FF"/>
          <w:sz w:val="32"/>
          <w:szCs w:val="32"/>
        </w:rPr>
      </w:pPr>
      <w:r>
        <w:rPr>
          <w:rFonts w:hint="eastAsia" w:ascii="宋体" w:hAnsi="宋体" w:cs="宋体"/>
          <w:b/>
          <w:bCs/>
          <w:color w:val="0000FF"/>
          <w:sz w:val="32"/>
          <w:szCs w:val="32"/>
        </w:rPr>
        <w:t>乙方：</w:t>
      </w:r>
      <w:r>
        <w:rPr>
          <w:rFonts w:hint="eastAsia" w:ascii="宋体" w:hAnsi="宋体"/>
          <w:b/>
          <w:bCs/>
          <w:color w:val="0000FF"/>
          <w:sz w:val="32"/>
          <w:szCs w:val="32"/>
          <w:u w:val="single"/>
        </w:rPr>
        <w:t xml:space="preserve">                         </w:t>
      </w:r>
    </w:p>
    <w:p w14:paraId="1FE1B5DB">
      <w:pPr>
        <w:spacing w:line="360" w:lineRule="auto"/>
        <w:jc w:val="center"/>
        <w:rPr>
          <w:rFonts w:hint="eastAsia" w:ascii="宋体" w:hAnsi="宋体" w:cs="宋体"/>
          <w:b/>
          <w:bCs/>
          <w:color w:val="0000FF"/>
          <w:spacing w:val="26"/>
          <w:sz w:val="30"/>
          <w:szCs w:val="30"/>
        </w:rPr>
      </w:pPr>
      <w:r>
        <w:rPr>
          <w:rFonts w:hint="eastAsia" w:ascii="宋体" w:hAnsi="宋体"/>
          <w:b/>
          <w:bCs/>
          <w:color w:val="0000FF"/>
          <w:sz w:val="32"/>
          <w:szCs w:val="32"/>
        </w:rPr>
        <w:t xml:space="preserve">  </w:t>
      </w:r>
      <w:r>
        <w:rPr>
          <w:rFonts w:hint="eastAsia" w:ascii="宋体" w:hAnsi="宋体" w:cs="宋体"/>
          <w:b/>
          <w:bCs/>
          <w:color w:val="0000FF"/>
          <w:spacing w:val="26"/>
          <w:sz w:val="30"/>
          <w:szCs w:val="30"/>
        </w:rPr>
        <w:t xml:space="preserve"> </w:t>
      </w:r>
    </w:p>
    <w:p w14:paraId="310A53AC">
      <w:pPr>
        <w:spacing w:line="360" w:lineRule="auto"/>
        <w:jc w:val="center"/>
        <w:rPr>
          <w:rFonts w:hint="eastAsia" w:ascii="宋体" w:hAnsi="宋体" w:cs="宋体"/>
          <w:b/>
          <w:bCs/>
          <w:color w:val="0000FF"/>
          <w:spacing w:val="26"/>
          <w:sz w:val="30"/>
          <w:szCs w:val="30"/>
        </w:rPr>
      </w:pPr>
      <w:r>
        <w:rPr>
          <w:rFonts w:hint="eastAsia" w:ascii="宋体" w:hAnsi="宋体" w:cs="宋体"/>
          <w:b/>
          <w:bCs/>
          <w:color w:val="0000FF"/>
          <w:spacing w:val="26"/>
          <w:sz w:val="30"/>
          <w:szCs w:val="30"/>
        </w:rPr>
        <w:t>二〇二</w:t>
      </w:r>
      <w:r>
        <w:rPr>
          <w:rFonts w:hint="eastAsia" w:ascii="宋体" w:hAnsi="宋体" w:cs="宋体"/>
          <w:b/>
          <w:bCs/>
          <w:color w:val="0000FF"/>
          <w:spacing w:val="26"/>
          <w:sz w:val="30"/>
          <w:szCs w:val="30"/>
          <w:u w:val="single"/>
        </w:rPr>
        <w:t xml:space="preserve">   </w:t>
      </w:r>
      <w:r>
        <w:rPr>
          <w:rFonts w:hint="eastAsia" w:ascii="宋体" w:hAnsi="宋体" w:cs="宋体"/>
          <w:b/>
          <w:bCs/>
          <w:color w:val="0000FF"/>
          <w:spacing w:val="26"/>
          <w:sz w:val="30"/>
          <w:szCs w:val="30"/>
        </w:rPr>
        <w:t>年  月  日</w:t>
      </w:r>
    </w:p>
    <w:p w14:paraId="7438C167">
      <w:pPr>
        <w:pStyle w:val="5"/>
        <w:rPr>
          <w:color w:val="0000FF"/>
        </w:rPr>
      </w:pPr>
    </w:p>
    <w:p w14:paraId="4060770B">
      <w:pPr>
        <w:spacing w:line="360" w:lineRule="auto"/>
        <w:jc w:val="center"/>
        <w:rPr>
          <w:rFonts w:hint="eastAsia" w:ascii="宋体" w:hAnsi="宋体"/>
          <w:b/>
          <w:color w:val="0000FF"/>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4FC3A6C1">
      <w:pPr>
        <w:spacing w:line="360" w:lineRule="auto"/>
        <w:jc w:val="center"/>
        <w:rPr>
          <w:rFonts w:hint="eastAsia" w:ascii="宋体" w:hAnsi="宋体" w:cs="宋体"/>
          <w:b/>
          <w:color w:val="0000FF"/>
          <w:sz w:val="30"/>
          <w:szCs w:val="30"/>
        </w:rPr>
      </w:pPr>
      <w:r>
        <w:rPr>
          <w:rFonts w:hint="eastAsia" w:ascii="宋体" w:hAnsi="宋体" w:cs="宋体"/>
          <w:b/>
          <w:color w:val="0000FF"/>
          <w:sz w:val="44"/>
          <w:szCs w:val="44"/>
        </w:rPr>
        <w:t>采购合同</w:t>
      </w:r>
    </w:p>
    <w:p w14:paraId="1FE11813">
      <w:pPr>
        <w:spacing w:line="360" w:lineRule="auto"/>
        <w:ind w:firstLine="482" w:firstLineChars="200"/>
        <w:rPr>
          <w:rFonts w:hint="eastAsia" w:ascii="宋体" w:hAnsi="宋体" w:cs="宋体"/>
          <w:b/>
          <w:bCs/>
          <w:color w:val="0000FF"/>
          <w:sz w:val="24"/>
        </w:rPr>
      </w:pPr>
    </w:p>
    <w:p w14:paraId="19656234">
      <w:pPr>
        <w:spacing w:line="360" w:lineRule="auto"/>
        <w:ind w:firstLine="482" w:firstLineChars="200"/>
        <w:rPr>
          <w:rFonts w:hint="eastAsia" w:ascii="宋体" w:hAnsi="宋体" w:cs="宋体"/>
          <w:b/>
          <w:bCs/>
          <w:color w:val="0000FF"/>
          <w:sz w:val="24"/>
          <w:u w:val="single"/>
        </w:rPr>
      </w:pPr>
      <w:r>
        <w:rPr>
          <w:rFonts w:hint="eastAsia" w:ascii="宋体" w:hAnsi="宋体" w:cs="宋体"/>
          <w:b/>
          <w:bCs/>
          <w:color w:val="0000FF"/>
          <w:sz w:val="24"/>
        </w:rPr>
        <w:t>甲    方：</w:t>
      </w:r>
      <w:r>
        <w:rPr>
          <w:rFonts w:hint="eastAsia" w:ascii="宋体" w:hAnsi="宋体" w:cs="宋体"/>
          <w:b/>
          <w:bCs/>
          <w:color w:val="0000FF"/>
          <w:sz w:val="24"/>
          <w:u w:val="single"/>
        </w:rPr>
        <w:t xml:space="preserve">陕西青年职业学院           </w:t>
      </w:r>
    </w:p>
    <w:p w14:paraId="61751B70">
      <w:pPr>
        <w:spacing w:line="360" w:lineRule="auto"/>
        <w:ind w:firstLine="482" w:firstLineChars="200"/>
        <w:rPr>
          <w:rFonts w:hint="eastAsia" w:ascii="宋体" w:hAnsi="宋体" w:cs="宋体"/>
          <w:b/>
          <w:bCs/>
          <w:color w:val="0000FF"/>
          <w:sz w:val="24"/>
          <w:u w:val="single"/>
        </w:rPr>
      </w:pPr>
      <w:r>
        <w:rPr>
          <w:rFonts w:hint="eastAsia" w:ascii="宋体" w:hAnsi="宋体" w:cs="宋体"/>
          <w:b/>
          <w:bCs/>
          <w:color w:val="0000FF"/>
          <w:sz w:val="24"/>
        </w:rPr>
        <w:t>乙    方：</w:t>
      </w:r>
      <w:r>
        <w:rPr>
          <w:rFonts w:hint="eastAsia" w:ascii="宋体" w:hAnsi="宋体" w:cs="宋体"/>
          <w:b/>
          <w:bCs/>
          <w:color w:val="0000FF"/>
          <w:sz w:val="24"/>
          <w:u w:val="single"/>
        </w:rPr>
        <w:t xml:space="preserve">                           </w:t>
      </w:r>
    </w:p>
    <w:p w14:paraId="64AA7A84">
      <w:pPr>
        <w:shd w:val="clear" w:color="auto" w:fill="FFFFFF"/>
        <w:spacing w:line="360" w:lineRule="auto"/>
        <w:ind w:firstLine="480" w:firstLineChars="200"/>
        <w:rPr>
          <w:rFonts w:hint="eastAsia" w:ascii="宋体" w:hAnsi="宋体" w:cs="宋体"/>
          <w:color w:val="0000FF"/>
          <w:sz w:val="24"/>
        </w:rPr>
      </w:pPr>
    </w:p>
    <w:p w14:paraId="7B2B0A31">
      <w:pPr>
        <w:shd w:val="clear" w:color="auto" w:fill="FFFFFF"/>
        <w:spacing w:line="360" w:lineRule="auto"/>
        <w:ind w:firstLine="480" w:firstLineChars="200"/>
        <w:rPr>
          <w:rFonts w:hint="eastAsia" w:ascii="宋体" w:hAnsi="宋体" w:cs="宋体"/>
          <w:color w:val="0000FF"/>
          <w:sz w:val="24"/>
        </w:rPr>
      </w:pPr>
      <w:r>
        <w:rPr>
          <w:rFonts w:hint="eastAsia" w:ascii="宋体" w:hAnsi="宋体" w:cs="宋体"/>
          <w:color w:val="0000FF"/>
          <w:sz w:val="24"/>
        </w:rPr>
        <w:t>甲方与乙方依据《中华人民共和国民法典》及其他有关法律法规，遵循平等、自愿、公平和诚实信用的原则，甲、乙双方就陕西青年职业学院图书馆密集书架（二次）采购项目相关事项达成一致意见，订立本合同。</w:t>
      </w:r>
    </w:p>
    <w:p w14:paraId="3D32FDC0">
      <w:pPr>
        <w:spacing w:line="360" w:lineRule="auto"/>
        <w:rPr>
          <w:rFonts w:hint="eastAsia" w:ascii="宋体" w:hAnsi="宋体" w:cs="宋体"/>
          <w:b/>
          <w:bCs/>
          <w:color w:val="0000FF"/>
          <w:sz w:val="24"/>
        </w:rPr>
      </w:pPr>
      <w:bookmarkStart w:id="0" w:name="_Toc465511112"/>
      <w:bookmarkStart w:id="1" w:name="_Toc465510854"/>
      <w:bookmarkStart w:id="2" w:name="_Toc476761649"/>
      <w:bookmarkStart w:id="3" w:name="_Toc466270646"/>
      <w:bookmarkStart w:id="4" w:name="_Toc467005725"/>
      <w:bookmarkStart w:id="5" w:name="_Toc467005975"/>
      <w:bookmarkStart w:id="6" w:name="_Toc465511157"/>
      <w:r>
        <w:rPr>
          <w:rFonts w:hint="eastAsia" w:ascii="宋体" w:hAnsi="宋体" w:cs="宋体"/>
          <w:b/>
          <w:bCs/>
          <w:color w:val="0000FF"/>
          <w:sz w:val="24"/>
        </w:rPr>
        <w:t>一、合同范围</w:t>
      </w:r>
      <w:bookmarkEnd w:id="0"/>
      <w:bookmarkEnd w:id="1"/>
      <w:bookmarkEnd w:id="2"/>
      <w:bookmarkEnd w:id="3"/>
      <w:bookmarkEnd w:id="4"/>
      <w:bookmarkEnd w:id="5"/>
      <w:bookmarkEnd w:id="6"/>
      <w:r>
        <w:rPr>
          <w:rFonts w:hint="eastAsia" w:ascii="宋体" w:hAnsi="宋体" w:cs="宋体"/>
          <w:b/>
          <w:bCs/>
          <w:color w:val="0000FF"/>
          <w:sz w:val="24"/>
        </w:rPr>
        <w:t>：</w:t>
      </w:r>
    </w:p>
    <w:p w14:paraId="683D83A4">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陕西青年职业学院密集书架采购（二次）的招标文件、澄清文件及采购合同所涵盖的全部内容。</w:t>
      </w:r>
    </w:p>
    <w:p w14:paraId="1AF02311">
      <w:pPr>
        <w:spacing w:line="360" w:lineRule="auto"/>
        <w:rPr>
          <w:rFonts w:hint="eastAsia" w:ascii="宋体" w:hAnsi="宋体" w:cs="宋体"/>
          <w:b/>
          <w:bCs/>
          <w:color w:val="0000FF"/>
          <w:sz w:val="24"/>
        </w:rPr>
      </w:pPr>
      <w:bookmarkStart w:id="7" w:name="_Toc476761651"/>
      <w:bookmarkStart w:id="8" w:name="_Toc465510856"/>
      <w:bookmarkStart w:id="9" w:name="_Toc466270648"/>
      <w:bookmarkStart w:id="10" w:name="_Toc467005727"/>
      <w:bookmarkStart w:id="11" w:name="_Toc465511159"/>
      <w:bookmarkStart w:id="12" w:name="_Toc465511114"/>
      <w:bookmarkStart w:id="13" w:name="_Toc467005977"/>
      <w:r>
        <w:rPr>
          <w:rFonts w:hint="eastAsia" w:ascii="宋体" w:hAnsi="宋体" w:cs="宋体"/>
          <w:b/>
          <w:bCs/>
          <w:color w:val="0000FF"/>
          <w:sz w:val="24"/>
        </w:rPr>
        <w:t>二、</w:t>
      </w:r>
      <w:bookmarkEnd w:id="7"/>
      <w:bookmarkEnd w:id="8"/>
      <w:bookmarkEnd w:id="9"/>
      <w:bookmarkEnd w:id="10"/>
      <w:bookmarkEnd w:id="11"/>
      <w:bookmarkEnd w:id="12"/>
      <w:bookmarkEnd w:id="13"/>
      <w:r>
        <w:rPr>
          <w:rFonts w:hint="eastAsia" w:ascii="宋体" w:hAnsi="宋体" w:cs="宋体"/>
          <w:b/>
          <w:bCs/>
          <w:color w:val="0000FF"/>
          <w:sz w:val="24"/>
        </w:rPr>
        <w:t>交货期、交货地点、质量要求及质保期：</w:t>
      </w:r>
    </w:p>
    <w:p w14:paraId="097DF9A7">
      <w:pPr>
        <w:spacing w:line="360" w:lineRule="auto"/>
        <w:ind w:firstLine="480" w:firstLineChars="200"/>
        <w:rPr>
          <w:rFonts w:hint="eastAsia" w:ascii="宋体" w:hAnsi="宋体" w:cs="宋体"/>
          <w:color w:val="0000FF"/>
          <w:sz w:val="24"/>
        </w:rPr>
      </w:pPr>
      <w:bookmarkStart w:id="14" w:name="_Toc465511115"/>
      <w:bookmarkStart w:id="15" w:name="_Toc466270649"/>
      <w:bookmarkStart w:id="16" w:name="_Toc467005728"/>
      <w:bookmarkStart w:id="17" w:name="_Toc465510857"/>
      <w:bookmarkStart w:id="18" w:name="_Toc476761652"/>
      <w:bookmarkStart w:id="19" w:name="_Toc467005978"/>
      <w:bookmarkStart w:id="20" w:name="_Toc465511160"/>
      <w:r>
        <w:rPr>
          <w:rFonts w:hint="eastAsia" w:ascii="宋体" w:hAnsi="宋体" w:cs="宋体"/>
          <w:bCs/>
          <w:color w:val="0000FF"/>
          <w:kern w:val="0"/>
          <w:sz w:val="24"/>
        </w:rPr>
        <w:t>交货期</w:t>
      </w:r>
      <w:r>
        <w:rPr>
          <w:rFonts w:hint="eastAsia" w:ascii="宋体" w:hAnsi="宋体" w:cs="宋体"/>
          <w:color w:val="0000FF"/>
          <w:sz w:val="24"/>
        </w:rPr>
        <w:t>：</w:t>
      </w:r>
      <w:r>
        <w:rPr>
          <w:rFonts w:hint="eastAsia" w:ascii="宋体" w:hAnsi="宋体" w:cs="宋体"/>
          <w:color w:val="0000FF"/>
          <w:sz w:val="24"/>
          <w:lang w:val="en-GB"/>
        </w:rPr>
        <w:t>合同签订之日起</w:t>
      </w:r>
      <w:r>
        <w:rPr>
          <w:rFonts w:hint="eastAsia" w:ascii="宋体" w:hAnsi="宋体" w:cs="宋体"/>
          <w:color w:val="0000FF"/>
          <w:sz w:val="24"/>
        </w:rPr>
        <w:t>60</w:t>
      </w:r>
      <w:r>
        <w:rPr>
          <w:rFonts w:hint="eastAsia" w:ascii="宋体" w:hAnsi="宋体" w:cs="宋体"/>
          <w:color w:val="0000FF"/>
          <w:sz w:val="24"/>
          <w:lang w:val="en-GB"/>
        </w:rPr>
        <w:t>个日历日内</w:t>
      </w:r>
      <w:r>
        <w:rPr>
          <w:rFonts w:hint="eastAsia" w:ascii="宋体" w:hAnsi="宋体" w:cs="宋体"/>
          <w:color w:val="0000FF"/>
          <w:sz w:val="24"/>
        </w:rPr>
        <w:t>安装调试完毕；</w:t>
      </w:r>
    </w:p>
    <w:p w14:paraId="40DF312B">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交货地点：采购人指定地点；</w:t>
      </w:r>
    </w:p>
    <w:p w14:paraId="4D6E0C9F">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质量要求：合格（达到国家强制性合格标准）；</w:t>
      </w:r>
    </w:p>
    <w:p w14:paraId="23119673">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质保期：质保期5年，终身免费维修。</w:t>
      </w:r>
    </w:p>
    <w:p w14:paraId="67E984CC">
      <w:pPr>
        <w:spacing w:line="360" w:lineRule="auto"/>
        <w:rPr>
          <w:rFonts w:hint="eastAsia" w:ascii="宋体" w:hAnsi="宋体" w:cs="宋体"/>
          <w:b/>
          <w:bCs/>
          <w:color w:val="0000FF"/>
          <w:sz w:val="24"/>
        </w:rPr>
      </w:pPr>
      <w:r>
        <w:rPr>
          <w:rFonts w:hint="eastAsia" w:ascii="宋体" w:hAnsi="宋体" w:cs="宋体"/>
          <w:b/>
          <w:bCs/>
          <w:color w:val="0000FF"/>
          <w:sz w:val="24"/>
        </w:rPr>
        <w:t>三、合同文件及解释</w:t>
      </w:r>
      <w:bookmarkEnd w:id="14"/>
      <w:bookmarkEnd w:id="15"/>
      <w:bookmarkEnd w:id="16"/>
      <w:bookmarkEnd w:id="17"/>
      <w:bookmarkEnd w:id="18"/>
      <w:bookmarkEnd w:id="19"/>
      <w:bookmarkEnd w:id="20"/>
    </w:p>
    <w:p w14:paraId="049865DF">
      <w:pPr>
        <w:spacing w:line="360" w:lineRule="auto"/>
        <w:ind w:firstLine="480" w:firstLineChars="200"/>
        <w:rPr>
          <w:rFonts w:hint="eastAsia" w:ascii="宋体" w:hAnsi="宋体" w:cs="宋体"/>
          <w:color w:val="0000FF"/>
          <w:sz w:val="24"/>
        </w:rPr>
      </w:pPr>
      <w:bookmarkStart w:id="21" w:name="_Toc465511116"/>
      <w:bookmarkStart w:id="22" w:name="_Toc466270650"/>
      <w:bookmarkStart w:id="23" w:name="_Toc465511161"/>
      <w:bookmarkStart w:id="24" w:name="_Toc465510858"/>
      <w:bookmarkStart w:id="25" w:name="_Toc476761653"/>
      <w:bookmarkStart w:id="26" w:name="_Toc468550422"/>
      <w:r>
        <w:rPr>
          <w:rFonts w:hint="eastAsia" w:ascii="宋体" w:hAnsi="宋体" w:cs="宋体"/>
          <w:color w:val="0000FF"/>
          <w:sz w:val="24"/>
        </w:rPr>
        <w:t>合同协议书</w:t>
      </w:r>
    </w:p>
    <w:p w14:paraId="6588D4BB">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成交通知书</w:t>
      </w:r>
    </w:p>
    <w:p w14:paraId="4D55F707">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招标文件及相关补遗文件</w:t>
      </w:r>
    </w:p>
    <w:p w14:paraId="75F2B35D">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技术标准、规范。</w:t>
      </w:r>
    </w:p>
    <w:p w14:paraId="7AD7DF3B">
      <w:pPr>
        <w:spacing w:line="360" w:lineRule="auto"/>
        <w:ind w:firstLine="480" w:firstLineChars="200"/>
        <w:rPr>
          <w:rFonts w:hint="eastAsia" w:ascii="宋体" w:hAnsi="宋体" w:cs="宋体"/>
          <w:color w:val="0000FF"/>
          <w:kern w:val="28"/>
          <w:sz w:val="24"/>
        </w:rPr>
      </w:pPr>
      <w:r>
        <w:rPr>
          <w:rFonts w:hint="eastAsia" w:ascii="宋体" w:hAnsi="宋体" w:cs="宋体"/>
          <w:color w:val="0000FF"/>
          <w:sz w:val="24"/>
        </w:rPr>
        <w:t>其他合同文件</w:t>
      </w:r>
    </w:p>
    <w:p w14:paraId="469BE2BA">
      <w:pPr>
        <w:spacing w:line="360" w:lineRule="auto"/>
        <w:rPr>
          <w:rFonts w:hint="eastAsia" w:ascii="宋体" w:hAnsi="宋体" w:cs="宋体"/>
          <w:b/>
          <w:bCs/>
          <w:color w:val="0000FF"/>
          <w:sz w:val="24"/>
        </w:rPr>
      </w:pPr>
      <w:r>
        <w:rPr>
          <w:rFonts w:hint="eastAsia" w:ascii="宋体" w:hAnsi="宋体" w:cs="宋体"/>
          <w:b/>
          <w:bCs/>
          <w:color w:val="0000FF"/>
          <w:sz w:val="24"/>
        </w:rPr>
        <w:t>四、合同价款、结算与支付</w:t>
      </w:r>
      <w:bookmarkEnd w:id="21"/>
      <w:bookmarkEnd w:id="22"/>
      <w:bookmarkEnd w:id="23"/>
      <w:bookmarkEnd w:id="24"/>
      <w:bookmarkEnd w:id="25"/>
      <w:bookmarkEnd w:id="26"/>
    </w:p>
    <w:p w14:paraId="6555E2FE">
      <w:pPr>
        <w:spacing w:line="360" w:lineRule="auto"/>
        <w:rPr>
          <w:rFonts w:hint="eastAsia" w:ascii="宋体" w:hAnsi="宋体" w:cs="宋体"/>
          <w:color w:val="0000FF"/>
          <w:sz w:val="24"/>
        </w:rPr>
      </w:pPr>
      <w:r>
        <w:rPr>
          <w:rFonts w:hint="eastAsia" w:ascii="宋体" w:hAnsi="宋体" w:cs="宋体"/>
          <w:color w:val="0000FF"/>
          <w:sz w:val="24"/>
        </w:rPr>
        <w:t>1、本合同固定总价合同</w:t>
      </w:r>
    </w:p>
    <w:p w14:paraId="2AF219EB">
      <w:pPr>
        <w:spacing w:line="360" w:lineRule="auto"/>
        <w:ind w:firstLine="480" w:firstLineChars="200"/>
        <w:rPr>
          <w:rFonts w:hint="eastAsia" w:ascii="宋体" w:hAnsi="宋体" w:cs="宋体"/>
          <w:color w:val="0000FF"/>
          <w:kern w:val="28"/>
          <w:sz w:val="24"/>
        </w:rPr>
      </w:pPr>
      <w:r>
        <w:rPr>
          <w:rFonts w:hint="eastAsia" w:ascii="宋体" w:hAnsi="宋体" w:cs="宋体"/>
          <w:color w:val="0000FF"/>
          <w:kern w:val="28"/>
          <w:sz w:val="24"/>
        </w:rPr>
        <w:t>本合同总价款：</w:t>
      </w:r>
      <w:r>
        <w:rPr>
          <w:rFonts w:hint="eastAsia" w:ascii="宋体" w:hAnsi="宋体" w:cs="宋体"/>
          <w:color w:val="0000FF"/>
          <w:kern w:val="28"/>
          <w:sz w:val="24"/>
          <w:u w:val="single"/>
        </w:rPr>
        <w:t>人民</w:t>
      </w:r>
      <w:r>
        <w:rPr>
          <w:rFonts w:hint="eastAsia" w:ascii="宋体" w:hAnsi="宋体" w:cs="宋体"/>
          <w:color w:val="0000FF"/>
          <w:sz w:val="24"/>
          <w:u w:val="single"/>
        </w:rPr>
        <w:t>币大写：         （RMB         ）。</w:t>
      </w:r>
      <w:r>
        <w:rPr>
          <w:rFonts w:hint="eastAsia" w:ascii="宋体" w:hAnsi="宋体" w:cs="宋体"/>
          <w:color w:val="0000FF"/>
          <w:sz w:val="24"/>
        </w:rPr>
        <w:t>该</w:t>
      </w:r>
      <w:r>
        <w:rPr>
          <w:rFonts w:hint="eastAsia" w:ascii="宋体" w:hAnsi="宋体" w:cs="宋体"/>
          <w:color w:val="0000FF"/>
          <w:kern w:val="28"/>
          <w:sz w:val="24"/>
        </w:rPr>
        <w:t>总价包括但不限于：人工费、包装、运输、仓储、保管、装卸（卸货至甲方指定地点）、保险、税金、利润、运杂费（含保险）、措施费、市场价格风险、社会干扰因素排除费用在内等一切费用。</w:t>
      </w:r>
    </w:p>
    <w:tbl>
      <w:tblPr>
        <w:tblStyle w:val="8"/>
        <w:tblpPr w:leftFromText="180" w:rightFromText="180" w:vertAnchor="text" w:horzAnchor="margin" w:tblpXSpec="center" w:tblpY="163"/>
        <w:tblW w:w="4997" w:type="pct"/>
        <w:jc w:val="center"/>
        <w:tblLayout w:type="autofit"/>
        <w:tblCellMar>
          <w:top w:w="0" w:type="dxa"/>
          <w:left w:w="108" w:type="dxa"/>
          <w:bottom w:w="0" w:type="dxa"/>
          <w:right w:w="108" w:type="dxa"/>
        </w:tblCellMar>
      </w:tblPr>
      <w:tblGrid>
        <w:gridCol w:w="407"/>
        <w:gridCol w:w="1072"/>
        <w:gridCol w:w="1382"/>
        <w:gridCol w:w="1131"/>
        <w:gridCol w:w="1130"/>
        <w:gridCol w:w="629"/>
        <w:gridCol w:w="629"/>
        <w:gridCol w:w="1070"/>
        <w:gridCol w:w="1067"/>
      </w:tblGrid>
      <w:tr w14:paraId="6E56AB7C">
        <w:tblPrEx>
          <w:tblCellMar>
            <w:top w:w="0" w:type="dxa"/>
            <w:left w:w="108" w:type="dxa"/>
            <w:bottom w:w="0" w:type="dxa"/>
            <w:right w:w="108" w:type="dxa"/>
          </w:tblCellMar>
        </w:tblPrEx>
        <w:trPr>
          <w:trHeight w:val="953" w:hRule="exact"/>
          <w:jc w:val="center"/>
        </w:trPr>
        <w:tc>
          <w:tcPr>
            <w:tcW w:w="239" w:type="pct"/>
            <w:tcBorders>
              <w:top w:val="single" w:color="auto" w:sz="4" w:space="0"/>
              <w:left w:val="single" w:color="auto" w:sz="4" w:space="0"/>
              <w:bottom w:val="single" w:color="auto" w:sz="4" w:space="0"/>
              <w:right w:val="single" w:color="auto" w:sz="4" w:space="0"/>
            </w:tcBorders>
            <w:vAlign w:val="center"/>
          </w:tcPr>
          <w:p w14:paraId="24D91893">
            <w:pPr>
              <w:widowControl/>
              <w:spacing w:line="360" w:lineRule="auto"/>
              <w:ind w:left="-105" w:leftChars="-50" w:right="-57"/>
              <w:jc w:val="center"/>
              <w:rPr>
                <w:rFonts w:hint="eastAsia" w:ascii="宋体" w:hAnsi="宋体" w:cs="宋体"/>
                <w:color w:val="0000FF"/>
                <w:kern w:val="0"/>
                <w:sz w:val="24"/>
              </w:rPr>
            </w:pPr>
            <w:bookmarkStart w:id="27" w:name="_Toc9057"/>
            <w:r>
              <w:rPr>
                <w:rFonts w:hint="eastAsia" w:ascii="宋体" w:hAnsi="宋体" w:cs="宋体"/>
                <w:color w:val="0000FF"/>
                <w:kern w:val="0"/>
                <w:sz w:val="24"/>
              </w:rPr>
              <w:t>序号</w:t>
            </w:r>
          </w:p>
        </w:tc>
        <w:tc>
          <w:tcPr>
            <w:tcW w:w="629" w:type="pct"/>
            <w:tcBorders>
              <w:top w:val="single" w:color="auto" w:sz="4" w:space="0"/>
              <w:left w:val="nil"/>
              <w:bottom w:val="single" w:color="auto" w:sz="4" w:space="0"/>
              <w:right w:val="single" w:color="auto" w:sz="4" w:space="0"/>
            </w:tcBorders>
            <w:vAlign w:val="center"/>
          </w:tcPr>
          <w:p w14:paraId="37908ED4">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货物名称</w:t>
            </w:r>
          </w:p>
        </w:tc>
        <w:tc>
          <w:tcPr>
            <w:tcW w:w="811" w:type="pct"/>
            <w:tcBorders>
              <w:top w:val="single" w:color="auto" w:sz="4" w:space="0"/>
              <w:left w:val="nil"/>
              <w:bottom w:val="single" w:color="auto" w:sz="4" w:space="0"/>
              <w:right w:val="single" w:color="auto" w:sz="4" w:space="0"/>
            </w:tcBorders>
            <w:vAlign w:val="center"/>
          </w:tcPr>
          <w:p w14:paraId="3FC4232C">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规格型号</w:t>
            </w:r>
          </w:p>
        </w:tc>
        <w:tc>
          <w:tcPr>
            <w:tcW w:w="664" w:type="pct"/>
            <w:tcBorders>
              <w:top w:val="single" w:color="auto" w:sz="4" w:space="0"/>
              <w:left w:val="nil"/>
              <w:bottom w:val="single" w:color="auto" w:sz="4" w:space="0"/>
              <w:right w:val="single" w:color="auto" w:sz="4" w:space="0"/>
            </w:tcBorders>
            <w:vAlign w:val="center"/>
          </w:tcPr>
          <w:p w14:paraId="628625C0">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品牌</w:t>
            </w:r>
          </w:p>
        </w:tc>
        <w:tc>
          <w:tcPr>
            <w:tcW w:w="663" w:type="pct"/>
            <w:tcBorders>
              <w:top w:val="single" w:color="auto" w:sz="4" w:space="0"/>
              <w:left w:val="nil"/>
              <w:bottom w:val="single" w:color="auto" w:sz="4" w:space="0"/>
              <w:right w:val="single" w:color="auto" w:sz="4" w:space="0"/>
            </w:tcBorders>
            <w:vAlign w:val="center"/>
          </w:tcPr>
          <w:p w14:paraId="4F631DA0">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28746C07">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单位</w:t>
            </w:r>
          </w:p>
        </w:tc>
        <w:tc>
          <w:tcPr>
            <w:tcW w:w="369" w:type="pct"/>
            <w:tcBorders>
              <w:top w:val="single" w:color="auto" w:sz="4" w:space="0"/>
              <w:left w:val="nil"/>
              <w:bottom w:val="single" w:color="auto" w:sz="4" w:space="0"/>
              <w:right w:val="single" w:color="auto" w:sz="4" w:space="0"/>
            </w:tcBorders>
            <w:vAlign w:val="center"/>
          </w:tcPr>
          <w:p w14:paraId="15610769">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数量</w:t>
            </w:r>
          </w:p>
        </w:tc>
        <w:tc>
          <w:tcPr>
            <w:tcW w:w="626" w:type="pct"/>
            <w:tcBorders>
              <w:top w:val="single" w:color="auto" w:sz="4" w:space="0"/>
              <w:left w:val="nil"/>
              <w:bottom w:val="single" w:color="auto" w:sz="4" w:space="0"/>
              <w:right w:val="single" w:color="auto" w:sz="4" w:space="0"/>
            </w:tcBorders>
            <w:vAlign w:val="center"/>
          </w:tcPr>
          <w:p w14:paraId="466609D5">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单价</w:t>
            </w:r>
          </w:p>
          <w:p w14:paraId="5393FD2E">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（元）</w:t>
            </w:r>
          </w:p>
        </w:tc>
        <w:tc>
          <w:tcPr>
            <w:tcW w:w="626" w:type="pct"/>
            <w:tcBorders>
              <w:top w:val="single" w:color="auto" w:sz="4" w:space="0"/>
              <w:left w:val="nil"/>
              <w:bottom w:val="single" w:color="auto" w:sz="4" w:space="0"/>
              <w:right w:val="single" w:color="auto" w:sz="4" w:space="0"/>
            </w:tcBorders>
            <w:vAlign w:val="center"/>
          </w:tcPr>
          <w:p w14:paraId="6F64AE84">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总价</w:t>
            </w:r>
          </w:p>
          <w:p w14:paraId="0487F1DF">
            <w:pPr>
              <w:widowControl/>
              <w:spacing w:line="360" w:lineRule="auto"/>
              <w:ind w:left="-105" w:leftChars="-50" w:right="-57"/>
              <w:jc w:val="center"/>
              <w:rPr>
                <w:rFonts w:hint="eastAsia" w:ascii="宋体" w:hAnsi="宋体" w:cs="宋体"/>
                <w:color w:val="0000FF"/>
                <w:kern w:val="0"/>
                <w:sz w:val="24"/>
              </w:rPr>
            </w:pPr>
            <w:r>
              <w:rPr>
                <w:rFonts w:hint="eastAsia" w:ascii="宋体" w:hAnsi="宋体" w:cs="宋体"/>
                <w:color w:val="0000FF"/>
                <w:kern w:val="0"/>
                <w:sz w:val="24"/>
              </w:rPr>
              <w:t>（元）</w:t>
            </w:r>
          </w:p>
        </w:tc>
      </w:tr>
      <w:tr w14:paraId="2BD35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0DFDAC16">
            <w:pPr>
              <w:rPr>
                <w:rFonts w:hint="eastAsia" w:ascii="宋体" w:hAnsi="宋体" w:cs="宋体"/>
                <w:color w:val="0000FF"/>
                <w:sz w:val="24"/>
              </w:rPr>
            </w:pPr>
          </w:p>
        </w:tc>
        <w:tc>
          <w:tcPr>
            <w:tcW w:w="629" w:type="pct"/>
          </w:tcPr>
          <w:p w14:paraId="57BF7B2B">
            <w:pPr>
              <w:rPr>
                <w:rFonts w:hint="eastAsia" w:ascii="宋体" w:hAnsi="宋体" w:cs="宋体"/>
                <w:color w:val="0000FF"/>
                <w:sz w:val="24"/>
              </w:rPr>
            </w:pPr>
          </w:p>
        </w:tc>
        <w:tc>
          <w:tcPr>
            <w:tcW w:w="811" w:type="pct"/>
            <w:vAlign w:val="center"/>
          </w:tcPr>
          <w:p w14:paraId="67E4FCC8">
            <w:pPr>
              <w:rPr>
                <w:rFonts w:hint="eastAsia" w:ascii="宋体" w:hAnsi="宋体" w:cs="宋体"/>
                <w:color w:val="0000FF"/>
                <w:sz w:val="24"/>
              </w:rPr>
            </w:pPr>
          </w:p>
        </w:tc>
        <w:tc>
          <w:tcPr>
            <w:tcW w:w="664" w:type="pct"/>
            <w:vAlign w:val="center"/>
          </w:tcPr>
          <w:p w14:paraId="56C26E87">
            <w:pPr>
              <w:rPr>
                <w:rFonts w:hint="eastAsia" w:ascii="宋体" w:hAnsi="宋体" w:cs="宋体"/>
                <w:color w:val="0000FF"/>
                <w:sz w:val="24"/>
              </w:rPr>
            </w:pPr>
          </w:p>
        </w:tc>
        <w:tc>
          <w:tcPr>
            <w:tcW w:w="663" w:type="pct"/>
            <w:vAlign w:val="center"/>
          </w:tcPr>
          <w:p w14:paraId="7C172421">
            <w:pPr>
              <w:rPr>
                <w:rFonts w:hint="eastAsia" w:ascii="宋体" w:hAnsi="宋体" w:cs="宋体"/>
                <w:color w:val="0000FF"/>
                <w:sz w:val="24"/>
              </w:rPr>
            </w:pPr>
          </w:p>
        </w:tc>
        <w:tc>
          <w:tcPr>
            <w:tcW w:w="369" w:type="pct"/>
          </w:tcPr>
          <w:p w14:paraId="1ED20631">
            <w:pPr>
              <w:rPr>
                <w:rFonts w:hint="eastAsia" w:ascii="宋体" w:hAnsi="宋体" w:cs="宋体"/>
                <w:color w:val="0000FF"/>
                <w:sz w:val="24"/>
              </w:rPr>
            </w:pPr>
          </w:p>
          <w:p w14:paraId="7A44578B">
            <w:pPr>
              <w:rPr>
                <w:rFonts w:hint="eastAsia" w:ascii="宋体" w:hAnsi="宋体" w:cs="宋体"/>
                <w:color w:val="0000FF"/>
                <w:sz w:val="24"/>
              </w:rPr>
            </w:pPr>
          </w:p>
        </w:tc>
        <w:tc>
          <w:tcPr>
            <w:tcW w:w="369" w:type="pct"/>
            <w:vAlign w:val="center"/>
          </w:tcPr>
          <w:p w14:paraId="2ADF7638">
            <w:pPr>
              <w:rPr>
                <w:rFonts w:hint="eastAsia" w:ascii="宋体" w:hAnsi="宋体" w:cs="宋体"/>
                <w:color w:val="0000FF"/>
                <w:sz w:val="24"/>
              </w:rPr>
            </w:pPr>
          </w:p>
        </w:tc>
        <w:tc>
          <w:tcPr>
            <w:tcW w:w="626" w:type="pct"/>
            <w:vAlign w:val="center"/>
          </w:tcPr>
          <w:p w14:paraId="59C70C99">
            <w:pPr>
              <w:rPr>
                <w:rFonts w:hint="eastAsia" w:ascii="宋体" w:hAnsi="宋体" w:cs="宋体"/>
                <w:color w:val="0000FF"/>
                <w:sz w:val="24"/>
              </w:rPr>
            </w:pPr>
          </w:p>
        </w:tc>
        <w:tc>
          <w:tcPr>
            <w:tcW w:w="626" w:type="pct"/>
            <w:vAlign w:val="center"/>
          </w:tcPr>
          <w:p w14:paraId="443B23A5">
            <w:pPr>
              <w:rPr>
                <w:rFonts w:hint="eastAsia" w:ascii="宋体" w:hAnsi="宋体" w:cs="宋体"/>
                <w:color w:val="0000FF"/>
                <w:sz w:val="24"/>
              </w:rPr>
            </w:pPr>
          </w:p>
        </w:tc>
      </w:tr>
      <w:tr w14:paraId="1588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65D15657">
            <w:pPr>
              <w:rPr>
                <w:rFonts w:hint="eastAsia" w:ascii="宋体" w:hAnsi="宋体" w:cs="宋体"/>
                <w:color w:val="0000FF"/>
                <w:sz w:val="24"/>
              </w:rPr>
            </w:pPr>
          </w:p>
        </w:tc>
        <w:tc>
          <w:tcPr>
            <w:tcW w:w="629" w:type="pct"/>
          </w:tcPr>
          <w:p w14:paraId="2AEA3D52">
            <w:pPr>
              <w:rPr>
                <w:rFonts w:hint="eastAsia" w:ascii="宋体" w:hAnsi="宋体" w:cs="宋体"/>
                <w:color w:val="0000FF"/>
                <w:sz w:val="24"/>
              </w:rPr>
            </w:pPr>
          </w:p>
        </w:tc>
        <w:tc>
          <w:tcPr>
            <w:tcW w:w="811" w:type="pct"/>
          </w:tcPr>
          <w:p w14:paraId="773F33F9">
            <w:pPr>
              <w:rPr>
                <w:rFonts w:hint="eastAsia" w:ascii="宋体" w:hAnsi="宋体" w:cs="宋体"/>
                <w:color w:val="0000FF"/>
                <w:sz w:val="24"/>
              </w:rPr>
            </w:pPr>
          </w:p>
        </w:tc>
        <w:tc>
          <w:tcPr>
            <w:tcW w:w="664" w:type="pct"/>
            <w:vAlign w:val="center"/>
          </w:tcPr>
          <w:p w14:paraId="4EB9D8B5">
            <w:pPr>
              <w:rPr>
                <w:rFonts w:hint="eastAsia" w:ascii="宋体" w:hAnsi="宋体" w:cs="宋体"/>
                <w:color w:val="0000FF"/>
                <w:sz w:val="24"/>
              </w:rPr>
            </w:pPr>
          </w:p>
        </w:tc>
        <w:tc>
          <w:tcPr>
            <w:tcW w:w="663" w:type="pct"/>
            <w:vAlign w:val="center"/>
          </w:tcPr>
          <w:p w14:paraId="4ABB7E55">
            <w:pPr>
              <w:rPr>
                <w:rFonts w:hint="eastAsia" w:ascii="宋体" w:hAnsi="宋体" w:cs="宋体"/>
                <w:color w:val="0000FF"/>
                <w:sz w:val="24"/>
              </w:rPr>
            </w:pPr>
          </w:p>
        </w:tc>
        <w:tc>
          <w:tcPr>
            <w:tcW w:w="369" w:type="pct"/>
          </w:tcPr>
          <w:p w14:paraId="15EA4FE8">
            <w:pPr>
              <w:rPr>
                <w:rFonts w:hint="eastAsia" w:ascii="宋体" w:hAnsi="宋体" w:cs="宋体"/>
                <w:color w:val="0000FF"/>
                <w:sz w:val="24"/>
              </w:rPr>
            </w:pPr>
          </w:p>
        </w:tc>
        <w:tc>
          <w:tcPr>
            <w:tcW w:w="369" w:type="pct"/>
            <w:vAlign w:val="center"/>
          </w:tcPr>
          <w:p w14:paraId="590846A1">
            <w:pPr>
              <w:rPr>
                <w:rFonts w:hint="eastAsia" w:ascii="宋体" w:hAnsi="宋体" w:cs="宋体"/>
                <w:color w:val="0000FF"/>
                <w:sz w:val="24"/>
              </w:rPr>
            </w:pPr>
          </w:p>
        </w:tc>
        <w:tc>
          <w:tcPr>
            <w:tcW w:w="626" w:type="pct"/>
          </w:tcPr>
          <w:p w14:paraId="2D8A760A">
            <w:pPr>
              <w:rPr>
                <w:rFonts w:hint="eastAsia" w:ascii="宋体" w:hAnsi="宋体" w:cs="宋体"/>
                <w:color w:val="0000FF"/>
                <w:sz w:val="24"/>
              </w:rPr>
            </w:pPr>
          </w:p>
        </w:tc>
        <w:tc>
          <w:tcPr>
            <w:tcW w:w="626" w:type="pct"/>
          </w:tcPr>
          <w:p w14:paraId="33DF3886">
            <w:pPr>
              <w:rPr>
                <w:rFonts w:hint="eastAsia" w:ascii="宋体" w:hAnsi="宋体" w:cs="宋体"/>
                <w:color w:val="0000FF"/>
                <w:sz w:val="24"/>
              </w:rPr>
            </w:pPr>
          </w:p>
        </w:tc>
      </w:tr>
      <w:tr w14:paraId="78A4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242C3A59">
            <w:pPr>
              <w:rPr>
                <w:rFonts w:hint="eastAsia" w:ascii="宋体" w:hAnsi="宋体" w:cs="宋体"/>
                <w:color w:val="0000FF"/>
                <w:sz w:val="24"/>
              </w:rPr>
            </w:pPr>
          </w:p>
        </w:tc>
        <w:tc>
          <w:tcPr>
            <w:tcW w:w="629" w:type="pct"/>
          </w:tcPr>
          <w:p w14:paraId="4FC73BCD">
            <w:pPr>
              <w:rPr>
                <w:rFonts w:hint="eastAsia" w:ascii="宋体" w:hAnsi="宋体" w:cs="宋体"/>
                <w:color w:val="0000FF"/>
                <w:sz w:val="24"/>
              </w:rPr>
            </w:pPr>
          </w:p>
        </w:tc>
        <w:tc>
          <w:tcPr>
            <w:tcW w:w="811" w:type="pct"/>
          </w:tcPr>
          <w:p w14:paraId="294E0EA7">
            <w:pPr>
              <w:rPr>
                <w:rFonts w:hint="eastAsia" w:ascii="宋体" w:hAnsi="宋体" w:cs="宋体"/>
                <w:color w:val="0000FF"/>
                <w:sz w:val="24"/>
              </w:rPr>
            </w:pPr>
          </w:p>
        </w:tc>
        <w:tc>
          <w:tcPr>
            <w:tcW w:w="664" w:type="pct"/>
            <w:vAlign w:val="center"/>
          </w:tcPr>
          <w:p w14:paraId="3294D4B7">
            <w:pPr>
              <w:rPr>
                <w:rFonts w:hint="eastAsia" w:ascii="宋体" w:hAnsi="宋体" w:cs="宋体"/>
                <w:color w:val="0000FF"/>
                <w:sz w:val="24"/>
              </w:rPr>
            </w:pPr>
          </w:p>
        </w:tc>
        <w:tc>
          <w:tcPr>
            <w:tcW w:w="663" w:type="pct"/>
            <w:vAlign w:val="center"/>
          </w:tcPr>
          <w:p w14:paraId="12B1453A">
            <w:pPr>
              <w:rPr>
                <w:rFonts w:hint="eastAsia" w:ascii="宋体" w:hAnsi="宋体" w:cs="宋体"/>
                <w:color w:val="0000FF"/>
                <w:sz w:val="24"/>
              </w:rPr>
            </w:pPr>
          </w:p>
        </w:tc>
        <w:tc>
          <w:tcPr>
            <w:tcW w:w="369" w:type="pct"/>
          </w:tcPr>
          <w:p w14:paraId="35B98642">
            <w:pPr>
              <w:rPr>
                <w:rFonts w:hint="eastAsia" w:ascii="宋体" w:hAnsi="宋体" w:cs="宋体"/>
                <w:color w:val="0000FF"/>
                <w:sz w:val="24"/>
              </w:rPr>
            </w:pPr>
          </w:p>
        </w:tc>
        <w:tc>
          <w:tcPr>
            <w:tcW w:w="369" w:type="pct"/>
            <w:vAlign w:val="center"/>
          </w:tcPr>
          <w:p w14:paraId="296050B1">
            <w:pPr>
              <w:rPr>
                <w:rFonts w:hint="eastAsia" w:ascii="宋体" w:hAnsi="宋体" w:cs="宋体"/>
                <w:color w:val="0000FF"/>
                <w:sz w:val="24"/>
              </w:rPr>
            </w:pPr>
          </w:p>
        </w:tc>
        <w:tc>
          <w:tcPr>
            <w:tcW w:w="626" w:type="pct"/>
          </w:tcPr>
          <w:p w14:paraId="6F047169">
            <w:pPr>
              <w:rPr>
                <w:rFonts w:hint="eastAsia" w:ascii="宋体" w:hAnsi="宋体" w:cs="宋体"/>
                <w:color w:val="0000FF"/>
                <w:sz w:val="24"/>
              </w:rPr>
            </w:pPr>
          </w:p>
        </w:tc>
        <w:tc>
          <w:tcPr>
            <w:tcW w:w="626" w:type="pct"/>
          </w:tcPr>
          <w:p w14:paraId="187FC48E">
            <w:pPr>
              <w:rPr>
                <w:rFonts w:hint="eastAsia" w:ascii="宋体" w:hAnsi="宋体" w:cs="宋体"/>
                <w:color w:val="0000FF"/>
                <w:sz w:val="24"/>
              </w:rPr>
            </w:pPr>
          </w:p>
        </w:tc>
      </w:tr>
      <w:tr w14:paraId="114C8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4E9FBF9F">
            <w:pPr>
              <w:rPr>
                <w:rFonts w:hint="eastAsia" w:ascii="宋体" w:hAnsi="宋体" w:cs="宋体"/>
                <w:color w:val="0000FF"/>
                <w:sz w:val="24"/>
              </w:rPr>
            </w:pPr>
          </w:p>
        </w:tc>
        <w:tc>
          <w:tcPr>
            <w:tcW w:w="629" w:type="pct"/>
          </w:tcPr>
          <w:p w14:paraId="61870F66">
            <w:pPr>
              <w:rPr>
                <w:rFonts w:hint="eastAsia" w:ascii="宋体" w:hAnsi="宋体" w:cs="宋体"/>
                <w:color w:val="0000FF"/>
                <w:sz w:val="24"/>
              </w:rPr>
            </w:pPr>
          </w:p>
        </w:tc>
        <w:tc>
          <w:tcPr>
            <w:tcW w:w="811" w:type="pct"/>
          </w:tcPr>
          <w:p w14:paraId="1566B7B0">
            <w:pPr>
              <w:rPr>
                <w:rFonts w:hint="eastAsia" w:ascii="宋体" w:hAnsi="宋体" w:cs="宋体"/>
                <w:color w:val="0000FF"/>
                <w:sz w:val="24"/>
              </w:rPr>
            </w:pPr>
          </w:p>
        </w:tc>
        <w:tc>
          <w:tcPr>
            <w:tcW w:w="664" w:type="pct"/>
            <w:vAlign w:val="center"/>
          </w:tcPr>
          <w:p w14:paraId="20A1A98A">
            <w:pPr>
              <w:rPr>
                <w:rFonts w:hint="eastAsia" w:ascii="宋体" w:hAnsi="宋体" w:cs="宋体"/>
                <w:color w:val="0000FF"/>
                <w:sz w:val="24"/>
              </w:rPr>
            </w:pPr>
          </w:p>
        </w:tc>
        <w:tc>
          <w:tcPr>
            <w:tcW w:w="663" w:type="pct"/>
            <w:vAlign w:val="center"/>
          </w:tcPr>
          <w:p w14:paraId="74F1DB5C">
            <w:pPr>
              <w:rPr>
                <w:rFonts w:hint="eastAsia" w:ascii="宋体" w:hAnsi="宋体" w:cs="宋体"/>
                <w:color w:val="0000FF"/>
                <w:sz w:val="24"/>
              </w:rPr>
            </w:pPr>
          </w:p>
        </w:tc>
        <w:tc>
          <w:tcPr>
            <w:tcW w:w="369" w:type="pct"/>
          </w:tcPr>
          <w:p w14:paraId="7D795C84">
            <w:pPr>
              <w:rPr>
                <w:rFonts w:hint="eastAsia" w:ascii="宋体" w:hAnsi="宋体" w:cs="宋体"/>
                <w:color w:val="0000FF"/>
                <w:sz w:val="24"/>
              </w:rPr>
            </w:pPr>
          </w:p>
        </w:tc>
        <w:tc>
          <w:tcPr>
            <w:tcW w:w="369" w:type="pct"/>
            <w:vAlign w:val="center"/>
          </w:tcPr>
          <w:p w14:paraId="33DF3D26">
            <w:pPr>
              <w:rPr>
                <w:rFonts w:hint="eastAsia" w:ascii="宋体" w:hAnsi="宋体" w:cs="宋体"/>
                <w:color w:val="0000FF"/>
                <w:sz w:val="24"/>
              </w:rPr>
            </w:pPr>
          </w:p>
        </w:tc>
        <w:tc>
          <w:tcPr>
            <w:tcW w:w="626" w:type="pct"/>
          </w:tcPr>
          <w:p w14:paraId="1639A4C3">
            <w:pPr>
              <w:rPr>
                <w:rFonts w:hint="eastAsia" w:ascii="宋体" w:hAnsi="宋体" w:cs="宋体"/>
                <w:color w:val="0000FF"/>
                <w:sz w:val="24"/>
              </w:rPr>
            </w:pPr>
          </w:p>
        </w:tc>
        <w:tc>
          <w:tcPr>
            <w:tcW w:w="626" w:type="pct"/>
          </w:tcPr>
          <w:p w14:paraId="3C728B08">
            <w:pPr>
              <w:rPr>
                <w:rFonts w:hint="eastAsia" w:ascii="宋体" w:hAnsi="宋体" w:cs="宋体"/>
                <w:color w:val="0000FF"/>
                <w:sz w:val="24"/>
              </w:rPr>
            </w:pPr>
          </w:p>
        </w:tc>
      </w:tr>
      <w:tr w14:paraId="719E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3F3B3FD6">
            <w:pPr>
              <w:rPr>
                <w:rFonts w:hint="eastAsia" w:ascii="宋体" w:hAnsi="宋体" w:cs="宋体"/>
                <w:color w:val="0000FF"/>
                <w:sz w:val="24"/>
              </w:rPr>
            </w:pPr>
          </w:p>
        </w:tc>
        <w:tc>
          <w:tcPr>
            <w:tcW w:w="629" w:type="pct"/>
          </w:tcPr>
          <w:p w14:paraId="5F0CD22D">
            <w:pPr>
              <w:rPr>
                <w:rFonts w:hint="eastAsia" w:ascii="宋体" w:hAnsi="宋体" w:cs="宋体"/>
                <w:color w:val="0000FF"/>
                <w:sz w:val="24"/>
              </w:rPr>
            </w:pPr>
          </w:p>
        </w:tc>
        <w:tc>
          <w:tcPr>
            <w:tcW w:w="811" w:type="pct"/>
          </w:tcPr>
          <w:p w14:paraId="09E7F599">
            <w:pPr>
              <w:rPr>
                <w:rFonts w:hint="eastAsia" w:ascii="宋体" w:hAnsi="宋体" w:cs="宋体"/>
                <w:color w:val="0000FF"/>
                <w:sz w:val="24"/>
              </w:rPr>
            </w:pPr>
          </w:p>
        </w:tc>
        <w:tc>
          <w:tcPr>
            <w:tcW w:w="664" w:type="pct"/>
            <w:vAlign w:val="center"/>
          </w:tcPr>
          <w:p w14:paraId="22C59B9E">
            <w:pPr>
              <w:rPr>
                <w:rFonts w:hint="eastAsia" w:ascii="宋体" w:hAnsi="宋体" w:cs="宋体"/>
                <w:color w:val="0000FF"/>
                <w:sz w:val="24"/>
              </w:rPr>
            </w:pPr>
          </w:p>
        </w:tc>
        <w:tc>
          <w:tcPr>
            <w:tcW w:w="663" w:type="pct"/>
            <w:vAlign w:val="center"/>
          </w:tcPr>
          <w:p w14:paraId="11EFB63F">
            <w:pPr>
              <w:rPr>
                <w:rFonts w:hint="eastAsia" w:ascii="宋体" w:hAnsi="宋体" w:cs="宋体"/>
                <w:color w:val="0000FF"/>
                <w:sz w:val="24"/>
              </w:rPr>
            </w:pPr>
          </w:p>
        </w:tc>
        <w:tc>
          <w:tcPr>
            <w:tcW w:w="369" w:type="pct"/>
          </w:tcPr>
          <w:p w14:paraId="342F4B0E">
            <w:pPr>
              <w:rPr>
                <w:rFonts w:hint="eastAsia" w:ascii="宋体" w:hAnsi="宋体" w:cs="宋体"/>
                <w:color w:val="0000FF"/>
                <w:sz w:val="24"/>
              </w:rPr>
            </w:pPr>
          </w:p>
        </w:tc>
        <w:tc>
          <w:tcPr>
            <w:tcW w:w="369" w:type="pct"/>
            <w:vAlign w:val="center"/>
          </w:tcPr>
          <w:p w14:paraId="155F2C75">
            <w:pPr>
              <w:rPr>
                <w:rFonts w:hint="eastAsia" w:ascii="宋体" w:hAnsi="宋体" w:cs="宋体"/>
                <w:color w:val="0000FF"/>
                <w:sz w:val="24"/>
              </w:rPr>
            </w:pPr>
          </w:p>
        </w:tc>
        <w:tc>
          <w:tcPr>
            <w:tcW w:w="626" w:type="pct"/>
          </w:tcPr>
          <w:p w14:paraId="7F394C35">
            <w:pPr>
              <w:rPr>
                <w:rFonts w:hint="eastAsia" w:ascii="宋体" w:hAnsi="宋体" w:cs="宋体"/>
                <w:color w:val="0000FF"/>
                <w:sz w:val="24"/>
              </w:rPr>
            </w:pPr>
          </w:p>
        </w:tc>
        <w:tc>
          <w:tcPr>
            <w:tcW w:w="626" w:type="pct"/>
          </w:tcPr>
          <w:p w14:paraId="542D86F0">
            <w:pPr>
              <w:rPr>
                <w:rFonts w:hint="eastAsia" w:ascii="宋体" w:hAnsi="宋体" w:cs="宋体"/>
                <w:color w:val="0000FF"/>
                <w:sz w:val="24"/>
              </w:rPr>
            </w:pPr>
          </w:p>
        </w:tc>
      </w:tr>
      <w:tr w14:paraId="4D82E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6865023F">
            <w:pPr>
              <w:rPr>
                <w:rFonts w:hint="eastAsia" w:ascii="宋体" w:hAnsi="宋体" w:cs="宋体"/>
                <w:color w:val="0000FF"/>
                <w:sz w:val="24"/>
              </w:rPr>
            </w:pPr>
          </w:p>
        </w:tc>
        <w:tc>
          <w:tcPr>
            <w:tcW w:w="629" w:type="pct"/>
          </w:tcPr>
          <w:p w14:paraId="06142566">
            <w:pPr>
              <w:rPr>
                <w:rFonts w:hint="eastAsia" w:ascii="宋体" w:hAnsi="宋体" w:cs="宋体"/>
                <w:color w:val="0000FF"/>
                <w:sz w:val="24"/>
              </w:rPr>
            </w:pPr>
          </w:p>
        </w:tc>
        <w:tc>
          <w:tcPr>
            <w:tcW w:w="811" w:type="pct"/>
          </w:tcPr>
          <w:p w14:paraId="4DEB6CDB">
            <w:pPr>
              <w:rPr>
                <w:rFonts w:hint="eastAsia" w:ascii="宋体" w:hAnsi="宋体" w:cs="宋体"/>
                <w:color w:val="0000FF"/>
                <w:sz w:val="24"/>
              </w:rPr>
            </w:pPr>
          </w:p>
        </w:tc>
        <w:tc>
          <w:tcPr>
            <w:tcW w:w="664" w:type="pct"/>
            <w:vAlign w:val="center"/>
          </w:tcPr>
          <w:p w14:paraId="5BBBED3E">
            <w:pPr>
              <w:rPr>
                <w:rFonts w:hint="eastAsia" w:ascii="宋体" w:hAnsi="宋体" w:cs="宋体"/>
                <w:color w:val="0000FF"/>
                <w:sz w:val="24"/>
              </w:rPr>
            </w:pPr>
          </w:p>
        </w:tc>
        <w:tc>
          <w:tcPr>
            <w:tcW w:w="663" w:type="pct"/>
            <w:vAlign w:val="center"/>
          </w:tcPr>
          <w:p w14:paraId="53893BA3">
            <w:pPr>
              <w:rPr>
                <w:rFonts w:hint="eastAsia" w:ascii="宋体" w:hAnsi="宋体" w:cs="宋体"/>
                <w:color w:val="0000FF"/>
                <w:sz w:val="24"/>
              </w:rPr>
            </w:pPr>
          </w:p>
        </w:tc>
        <w:tc>
          <w:tcPr>
            <w:tcW w:w="369" w:type="pct"/>
          </w:tcPr>
          <w:p w14:paraId="52C1CD6E">
            <w:pPr>
              <w:rPr>
                <w:rFonts w:hint="eastAsia" w:ascii="宋体" w:hAnsi="宋体" w:cs="宋体"/>
                <w:color w:val="0000FF"/>
                <w:sz w:val="24"/>
              </w:rPr>
            </w:pPr>
          </w:p>
        </w:tc>
        <w:tc>
          <w:tcPr>
            <w:tcW w:w="369" w:type="pct"/>
            <w:vAlign w:val="center"/>
          </w:tcPr>
          <w:p w14:paraId="6FF2E068">
            <w:pPr>
              <w:rPr>
                <w:rFonts w:hint="eastAsia" w:ascii="宋体" w:hAnsi="宋体" w:cs="宋体"/>
                <w:color w:val="0000FF"/>
                <w:sz w:val="24"/>
              </w:rPr>
            </w:pPr>
          </w:p>
        </w:tc>
        <w:tc>
          <w:tcPr>
            <w:tcW w:w="626" w:type="pct"/>
          </w:tcPr>
          <w:p w14:paraId="5397E1C1">
            <w:pPr>
              <w:rPr>
                <w:rFonts w:hint="eastAsia" w:ascii="宋体" w:hAnsi="宋体" w:cs="宋体"/>
                <w:color w:val="0000FF"/>
                <w:sz w:val="24"/>
              </w:rPr>
            </w:pPr>
          </w:p>
        </w:tc>
        <w:tc>
          <w:tcPr>
            <w:tcW w:w="626" w:type="pct"/>
          </w:tcPr>
          <w:p w14:paraId="04BC7937">
            <w:pPr>
              <w:rPr>
                <w:rFonts w:hint="eastAsia" w:ascii="宋体" w:hAnsi="宋体" w:cs="宋体"/>
                <w:color w:val="0000FF"/>
                <w:sz w:val="24"/>
              </w:rPr>
            </w:pPr>
          </w:p>
        </w:tc>
      </w:tr>
      <w:tr w14:paraId="44DC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32CFBCAB">
            <w:pPr>
              <w:spacing w:line="360" w:lineRule="auto"/>
              <w:ind w:left="-57" w:right="-57"/>
              <w:jc w:val="center"/>
              <w:rPr>
                <w:rFonts w:hint="eastAsia" w:ascii="宋体" w:hAnsi="宋体" w:cs="宋体"/>
                <w:color w:val="0000FF"/>
                <w:sz w:val="24"/>
              </w:rPr>
            </w:pPr>
          </w:p>
        </w:tc>
        <w:tc>
          <w:tcPr>
            <w:tcW w:w="629" w:type="pct"/>
            <w:vAlign w:val="center"/>
          </w:tcPr>
          <w:p w14:paraId="6685B001">
            <w:pPr>
              <w:spacing w:line="360" w:lineRule="auto"/>
              <w:ind w:left="-50" w:right="-50"/>
              <w:jc w:val="center"/>
              <w:rPr>
                <w:rFonts w:hint="eastAsia" w:ascii="宋体" w:hAnsi="宋体" w:cs="宋体"/>
                <w:color w:val="0000FF"/>
                <w:sz w:val="24"/>
              </w:rPr>
            </w:pPr>
            <w:r>
              <w:rPr>
                <w:rFonts w:hint="eastAsia" w:ascii="宋体" w:hAnsi="宋体" w:cs="宋体"/>
                <w:color w:val="0000FF"/>
                <w:sz w:val="24"/>
              </w:rPr>
              <w:t>合计</w:t>
            </w:r>
          </w:p>
        </w:tc>
        <w:tc>
          <w:tcPr>
            <w:tcW w:w="3504" w:type="pct"/>
            <w:gridSpan w:val="6"/>
            <w:vAlign w:val="center"/>
          </w:tcPr>
          <w:p w14:paraId="31BE05EF">
            <w:pPr>
              <w:spacing w:line="360" w:lineRule="auto"/>
              <w:ind w:left="-50" w:right="-50"/>
              <w:jc w:val="left"/>
              <w:rPr>
                <w:rFonts w:hint="eastAsia" w:ascii="宋体" w:hAnsi="宋体" w:cs="宋体"/>
                <w:color w:val="0000FF"/>
                <w:sz w:val="24"/>
              </w:rPr>
            </w:pPr>
            <w:r>
              <w:rPr>
                <w:rFonts w:hint="eastAsia" w:ascii="宋体" w:hAnsi="宋体" w:cs="宋体"/>
                <w:color w:val="0000FF"/>
                <w:sz w:val="24"/>
              </w:rPr>
              <w:t>大写：</w:t>
            </w:r>
            <w:r>
              <w:rPr>
                <w:rFonts w:hint="eastAsia" w:ascii="宋体" w:hAnsi="宋体" w:cs="宋体"/>
                <w:color w:val="0000FF"/>
                <w:sz w:val="24"/>
                <w:u w:val="single"/>
              </w:rPr>
              <w:t xml:space="preserve">     </w:t>
            </w:r>
            <w:r>
              <w:rPr>
                <w:rFonts w:hint="eastAsia" w:ascii="宋体" w:hAnsi="宋体" w:cs="宋体"/>
                <w:color w:val="0000FF"/>
                <w:sz w:val="24"/>
              </w:rPr>
              <w:t xml:space="preserve">      小写：</w:t>
            </w:r>
            <w:r>
              <w:rPr>
                <w:rFonts w:hint="eastAsia" w:ascii="宋体" w:hAnsi="宋体" w:cs="宋体"/>
                <w:color w:val="0000FF"/>
                <w:sz w:val="24"/>
                <w:u w:val="single"/>
              </w:rPr>
              <w:t xml:space="preserve">¥      </w:t>
            </w:r>
          </w:p>
        </w:tc>
        <w:tc>
          <w:tcPr>
            <w:tcW w:w="626" w:type="pct"/>
            <w:vAlign w:val="center"/>
          </w:tcPr>
          <w:p w14:paraId="61F6670E">
            <w:pPr>
              <w:spacing w:line="360" w:lineRule="auto"/>
              <w:ind w:left="-50" w:right="-50"/>
              <w:jc w:val="left"/>
              <w:rPr>
                <w:rFonts w:hint="eastAsia" w:ascii="宋体" w:hAnsi="宋体" w:cs="宋体"/>
                <w:color w:val="0000FF"/>
                <w:sz w:val="24"/>
              </w:rPr>
            </w:pPr>
          </w:p>
        </w:tc>
      </w:tr>
      <w:bookmarkEnd w:id="27"/>
    </w:tbl>
    <w:p w14:paraId="59DA676B">
      <w:pPr>
        <w:spacing w:line="360" w:lineRule="auto"/>
        <w:rPr>
          <w:rFonts w:hint="eastAsia" w:ascii="宋体" w:hAnsi="宋体" w:cs="宋体"/>
          <w:color w:val="0000FF"/>
          <w:sz w:val="24"/>
        </w:rPr>
      </w:pPr>
      <w:r>
        <w:rPr>
          <w:rFonts w:hint="eastAsia" w:ascii="宋体" w:hAnsi="宋体" w:cs="宋体"/>
          <w:color w:val="0000FF"/>
          <w:sz w:val="24"/>
        </w:rPr>
        <w:t>2、支付方式: 合同款支付全部通过银行转账：</w:t>
      </w:r>
    </w:p>
    <w:p w14:paraId="2ABE4E29">
      <w:pPr>
        <w:spacing w:line="360" w:lineRule="auto"/>
        <w:ind w:firstLine="480" w:firstLineChars="200"/>
        <w:rPr>
          <w:rFonts w:hint="eastAsia" w:ascii="宋体" w:hAnsi="宋体" w:cs="宋体"/>
          <w:color w:val="0000FF"/>
          <w:sz w:val="24"/>
          <w:u w:val="single"/>
        </w:rPr>
      </w:pPr>
      <w:r>
        <w:rPr>
          <w:rFonts w:hint="eastAsia" w:ascii="宋体" w:hAnsi="宋体" w:cs="宋体"/>
          <w:color w:val="0000FF"/>
          <w:sz w:val="24"/>
        </w:rPr>
        <w:t>名     称：</w:t>
      </w:r>
      <w:r>
        <w:rPr>
          <w:rFonts w:hint="eastAsia" w:ascii="宋体" w:hAnsi="宋体" w:cs="宋体"/>
          <w:color w:val="0000FF"/>
          <w:sz w:val="24"/>
          <w:u w:val="single"/>
        </w:rPr>
        <w:t xml:space="preserve">                 </w:t>
      </w:r>
    </w:p>
    <w:p w14:paraId="61C95003">
      <w:pPr>
        <w:spacing w:line="360" w:lineRule="auto"/>
        <w:ind w:firstLine="480" w:firstLineChars="200"/>
        <w:rPr>
          <w:rFonts w:hint="eastAsia" w:ascii="宋体" w:hAnsi="宋体" w:cs="宋体"/>
          <w:color w:val="0000FF"/>
          <w:sz w:val="24"/>
          <w:u w:val="single"/>
        </w:rPr>
      </w:pPr>
      <w:r>
        <w:rPr>
          <w:rFonts w:hint="eastAsia" w:ascii="宋体" w:hAnsi="宋体" w:cs="宋体"/>
          <w:color w:val="0000FF"/>
          <w:sz w:val="24"/>
        </w:rPr>
        <w:t>开  户 行：</w:t>
      </w:r>
      <w:r>
        <w:rPr>
          <w:rFonts w:hint="eastAsia" w:ascii="宋体" w:hAnsi="宋体" w:cs="宋体"/>
          <w:color w:val="0000FF"/>
          <w:sz w:val="24"/>
          <w:u w:val="single"/>
        </w:rPr>
        <w:t xml:space="preserve">                   </w:t>
      </w:r>
    </w:p>
    <w:p w14:paraId="030F6A1F">
      <w:pPr>
        <w:spacing w:line="360" w:lineRule="auto"/>
        <w:ind w:firstLine="480" w:firstLineChars="200"/>
        <w:rPr>
          <w:rFonts w:hint="eastAsia" w:ascii="宋体" w:hAnsi="宋体" w:cs="宋体"/>
          <w:color w:val="0000FF"/>
          <w:sz w:val="24"/>
          <w:u w:val="single"/>
        </w:rPr>
      </w:pPr>
      <w:r>
        <w:rPr>
          <w:rFonts w:hint="eastAsia" w:ascii="宋体" w:hAnsi="宋体" w:cs="宋体"/>
          <w:color w:val="0000FF"/>
          <w:sz w:val="24"/>
        </w:rPr>
        <w:t>账     号：</w:t>
      </w:r>
      <w:r>
        <w:rPr>
          <w:rFonts w:hint="eastAsia" w:ascii="宋体" w:hAnsi="宋体" w:cs="宋体"/>
          <w:color w:val="0000FF"/>
          <w:sz w:val="24"/>
          <w:u w:val="single"/>
        </w:rPr>
        <w:t xml:space="preserve">                     </w:t>
      </w:r>
    </w:p>
    <w:p w14:paraId="0166D160">
      <w:pPr>
        <w:spacing w:line="360" w:lineRule="auto"/>
        <w:rPr>
          <w:rFonts w:hint="eastAsia" w:ascii="宋体" w:hAnsi="宋体" w:cs="宋体"/>
          <w:color w:val="0000FF"/>
          <w:kern w:val="28"/>
          <w:sz w:val="24"/>
        </w:rPr>
      </w:pPr>
      <w:r>
        <w:rPr>
          <w:rFonts w:hint="eastAsia" w:ascii="宋体" w:hAnsi="宋体" w:cs="宋体"/>
          <w:color w:val="0000FF"/>
          <w:kern w:val="28"/>
          <w:sz w:val="24"/>
        </w:rPr>
        <w:t xml:space="preserve">2.1 付款方式: </w:t>
      </w:r>
    </w:p>
    <w:p w14:paraId="607B0680">
      <w:pPr>
        <w:spacing w:line="360" w:lineRule="auto"/>
        <w:ind w:firstLine="480" w:firstLineChars="200"/>
        <w:rPr>
          <w:rFonts w:hint="eastAsia" w:ascii="宋体" w:hAnsi="宋体" w:cs="宋体"/>
          <w:color w:val="0000FF"/>
          <w:kern w:val="28"/>
          <w:sz w:val="24"/>
        </w:rPr>
      </w:pPr>
      <w:r>
        <w:rPr>
          <w:rFonts w:hint="eastAsia" w:ascii="宋体" w:hAnsi="宋体" w:cs="宋体"/>
          <w:color w:val="0000FF"/>
          <w:sz w:val="24"/>
        </w:rPr>
        <w:t>自合同签订，且所有货物到达甲方指定地点后，乙方提供付款等额发票，甲方付合同总价款的40%作为预付款。所有货物安装到甲方指定位置且调试合格，经甲方验收合格并经结算审计，甲方收到乙方开具的正式发票后，30日内付清尾款。</w:t>
      </w:r>
    </w:p>
    <w:p w14:paraId="6AB536EE">
      <w:pPr>
        <w:spacing w:line="360" w:lineRule="auto"/>
        <w:rPr>
          <w:rFonts w:hint="eastAsia" w:ascii="宋体" w:hAnsi="宋体" w:cs="宋体"/>
          <w:color w:val="0000FF"/>
          <w:kern w:val="28"/>
          <w:sz w:val="24"/>
        </w:rPr>
      </w:pPr>
      <w:r>
        <w:rPr>
          <w:rFonts w:hint="eastAsia" w:ascii="宋体" w:hAnsi="宋体" w:cs="宋体"/>
          <w:color w:val="0000FF"/>
          <w:kern w:val="28"/>
          <w:sz w:val="24"/>
        </w:rPr>
        <w:t xml:space="preserve">3、结算方式 </w:t>
      </w:r>
    </w:p>
    <w:p w14:paraId="45093EC6">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3.1 按照甲方最终验收确认的实际供货数量进行结算。</w:t>
      </w:r>
    </w:p>
    <w:p w14:paraId="0EBA0481">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3.2 凡因乙方投标漏项、误报等导致的费用差异均由乙方自行承担，且必须按合同约定继续履行此部分合同内容，结算时不予调整。</w:t>
      </w:r>
    </w:p>
    <w:p w14:paraId="114B82C9">
      <w:pPr>
        <w:spacing w:line="360" w:lineRule="auto"/>
        <w:rPr>
          <w:rFonts w:hint="eastAsia" w:ascii="宋体" w:hAnsi="宋体" w:cs="宋体"/>
          <w:b/>
          <w:bCs/>
          <w:color w:val="0000FF"/>
          <w:sz w:val="24"/>
        </w:rPr>
      </w:pPr>
      <w:bookmarkStart w:id="28" w:name="_Toc495505734"/>
      <w:bookmarkStart w:id="29" w:name="_Toc11632"/>
      <w:r>
        <w:rPr>
          <w:rFonts w:hint="eastAsia" w:ascii="宋体" w:hAnsi="宋体" w:cs="宋体"/>
          <w:b/>
          <w:bCs/>
          <w:color w:val="0000FF"/>
          <w:sz w:val="24"/>
        </w:rPr>
        <w:t>五、权利与义务</w:t>
      </w:r>
      <w:bookmarkEnd w:id="28"/>
      <w:bookmarkEnd w:id="29"/>
    </w:p>
    <w:p w14:paraId="18E51C28">
      <w:pPr>
        <w:spacing w:line="360" w:lineRule="auto"/>
        <w:rPr>
          <w:rFonts w:hint="eastAsia" w:ascii="宋体" w:hAnsi="宋体" w:cs="宋体"/>
          <w:b/>
          <w:bCs/>
          <w:color w:val="0000FF"/>
          <w:sz w:val="24"/>
        </w:rPr>
      </w:pPr>
      <w:bookmarkStart w:id="30" w:name="_Toc28936"/>
      <w:bookmarkStart w:id="31" w:name="_Toc495505735"/>
      <w:r>
        <w:rPr>
          <w:rFonts w:hint="eastAsia" w:ascii="宋体" w:hAnsi="宋体" w:cs="宋体"/>
          <w:b/>
          <w:bCs/>
          <w:color w:val="0000FF"/>
          <w:sz w:val="24"/>
        </w:rPr>
        <w:t>（一）甲方的权利与义务</w:t>
      </w:r>
      <w:bookmarkEnd w:id="30"/>
      <w:bookmarkEnd w:id="31"/>
    </w:p>
    <w:p w14:paraId="2875FAC8">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1、甲方有权要求乙方供货的项目内容符合国家及同行业相关规范，符合国家验收标准，能够通过国家验收。</w:t>
      </w:r>
    </w:p>
    <w:p w14:paraId="512292BD">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2、甲方有权要求乙方配合甲方完成所采购项目内容的预验收工作以及正式验收工作。</w:t>
      </w:r>
    </w:p>
    <w:p w14:paraId="36642C76">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3、甲方有权要求乙方提供的产品所涉及的第三方权利进行免责。</w:t>
      </w:r>
    </w:p>
    <w:p w14:paraId="3C0A6F81">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4、甲方有义务保证按合同所规定的内容及时间支付乙方相关费用。</w:t>
      </w:r>
    </w:p>
    <w:p w14:paraId="77646A06">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5、甲方项目负责人为</w:t>
      </w:r>
      <w:r>
        <w:rPr>
          <w:rFonts w:hint="eastAsia" w:ascii="宋体" w:hAnsi="宋体" w:cs="宋体"/>
          <w:color w:val="0000FF"/>
          <w:sz w:val="24"/>
          <w:u w:val="single"/>
        </w:rPr>
        <w:t xml:space="preserve">     （手机:  ）  </w:t>
      </w:r>
      <w:r>
        <w:rPr>
          <w:rFonts w:hint="eastAsia" w:ascii="宋体" w:hAnsi="宋体" w:cs="宋体"/>
          <w:color w:val="0000FF"/>
          <w:sz w:val="24"/>
        </w:rPr>
        <w:t>。</w:t>
      </w:r>
    </w:p>
    <w:p w14:paraId="624450ED">
      <w:pPr>
        <w:spacing w:line="360" w:lineRule="auto"/>
        <w:ind w:firstLine="480" w:firstLineChars="200"/>
        <w:rPr>
          <w:rFonts w:hint="eastAsia" w:ascii="宋体" w:hAnsi="宋体" w:cs="宋体"/>
          <w:color w:val="0000FF"/>
          <w:kern w:val="28"/>
          <w:sz w:val="24"/>
        </w:rPr>
      </w:pPr>
      <w:r>
        <w:rPr>
          <w:rFonts w:hint="eastAsia" w:ascii="宋体" w:hAnsi="宋体" w:cs="宋体"/>
          <w:color w:val="0000FF"/>
          <w:kern w:val="28"/>
          <w:sz w:val="24"/>
        </w:rPr>
        <w:t>6、乙方不能按甲方要求及时供货，甲方有单方解除合同的权利。解除合同的同时，甲方有权利与评标报告中排名第二的供应商签订新的供货合同。</w:t>
      </w:r>
    </w:p>
    <w:p w14:paraId="71E191E6">
      <w:pPr>
        <w:spacing w:line="360" w:lineRule="auto"/>
        <w:ind w:firstLine="480" w:firstLineChars="200"/>
        <w:rPr>
          <w:rFonts w:hint="eastAsia" w:ascii="宋体" w:hAnsi="宋体" w:cs="宋体"/>
          <w:color w:val="0000FF"/>
          <w:kern w:val="28"/>
          <w:sz w:val="24"/>
        </w:rPr>
      </w:pPr>
      <w:r>
        <w:rPr>
          <w:rFonts w:hint="eastAsia" w:ascii="宋体" w:hAnsi="宋体" w:cs="宋体"/>
          <w:color w:val="0000FF"/>
          <w:kern w:val="28"/>
          <w:sz w:val="24"/>
        </w:rPr>
        <w:t>7、因乙方原因供货延误，给甲方造成损失或被第三方要求索赔的，乙方应全额承担，包括但不限于向第三方赔偿、行政罚款、处理纠纷产生的律师费、诉讼费、保全费及其他各项费用。</w:t>
      </w:r>
    </w:p>
    <w:p w14:paraId="75A723C8">
      <w:pPr>
        <w:spacing w:line="360" w:lineRule="auto"/>
        <w:rPr>
          <w:rFonts w:hint="eastAsia" w:ascii="宋体" w:hAnsi="宋体" w:cs="宋体"/>
          <w:b/>
          <w:bCs/>
          <w:color w:val="0000FF"/>
          <w:sz w:val="24"/>
        </w:rPr>
      </w:pPr>
      <w:bookmarkStart w:id="32" w:name="_Toc495505736"/>
      <w:bookmarkStart w:id="33" w:name="_Toc18251"/>
      <w:r>
        <w:rPr>
          <w:rFonts w:hint="eastAsia" w:ascii="宋体" w:hAnsi="宋体" w:cs="宋体"/>
          <w:b/>
          <w:bCs/>
          <w:color w:val="0000FF"/>
          <w:sz w:val="24"/>
        </w:rPr>
        <w:t>（二）乙方的权利与义务</w:t>
      </w:r>
      <w:bookmarkEnd w:id="32"/>
      <w:bookmarkEnd w:id="33"/>
    </w:p>
    <w:p w14:paraId="281499FB">
      <w:pPr>
        <w:spacing w:line="360" w:lineRule="auto"/>
        <w:ind w:firstLine="480" w:firstLineChars="200"/>
        <w:rPr>
          <w:rFonts w:hint="eastAsia" w:ascii="宋体" w:hAnsi="宋体" w:cs="宋体"/>
          <w:color w:val="0000FF"/>
          <w:sz w:val="24"/>
        </w:rPr>
      </w:pPr>
      <w:r>
        <w:rPr>
          <w:rFonts w:hint="eastAsia" w:ascii="宋体" w:hAnsi="宋体" w:cs="宋体"/>
          <w:color w:val="0000FF"/>
          <w:kern w:val="28"/>
          <w:sz w:val="24"/>
        </w:rPr>
        <w:t>1、乙方应</w:t>
      </w:r>
      <w:r>
        <w:rPr>
          <w:rFonts w:hint="eastAsia" w:ascii="宋体" w:hAnsi="宋体" w:cs="宋体"/>
          <w:color w:val="0000FF"/>
          <w:sz w:val="24"/>
        </w:rPr>
        <w:t>按本合同的规定供货，并保证产品全新、符合出厂标准规格、型号、数量、参数等与合同约定完全一致，无任何质量问题。</w:t>
      </w:r>
    </w:p>
    <w:p w14:paraId="3964026F">
      <w:pPr>
        <w:pStyle w:val="10"/>
        <w:autoSpaceDN w:val="0"/>
        <w:spacing w:line="360" w:lineRule="auto"/>
        <w:ind w:firstLine="480"/>
        <w:rPr>
          <w:rFonts w:hint="eastAsia" w:ascii="宋体" w:hAnsi="宋体" w:cs="宋体"/>
          <w:color w:val="0000FF"/>
          <w:sz w:val="24"/>
          <w:szCs w:val="24"/>
        </w:rPr>
      </w:pPr>
      <w:r>
        <w:rPr>
          <w:rFonts w:hint="eastAsia" w:ascii="宋体" w:hAnsi="宋体" w:cs="宋体"/>
          <w:color w:val="0000FF"/>
          <w:sz w:val="24"/>
          <w:szCs w:val="24"/>
        </w:rPr>
        <w:t>2、乙方有义务配合甲方参与项目的预验收、正式验收工作，并确保所供货物符合本项目国家现行标准。</w:t>
      </w:r>
    </w:p>
    <w:p w14:paraId="4CBE2468">
      <w:pPr>
        <w:pStyle w:val="10"/>
        <w:autoSpaceDN w:val="0"/>
        <w:spacing w:line="360" w:lineRule="auto"/>
        <w:ind w:firstLine="480"/>
        <w:rPr>
          <w:rFonts w:hint="eastAsia" w:ascii="宋体" w:hAnsi="宋体" w:cs="宋体"/>
          <w:color w:val="0000FF"/>
          <w:sz w:val="24"/>
          <w:szCs w:val="24"/>
        </w:rPr>
      </w:pPr>
      <w:r>
        <w:rPr>
          <w:rFonts w:hint="eastAsia" w:ascii="宋体" w:hAnsi="宋体" w:cs="宋体"/>
          <w:color w:val="0000FF"/>
          <w:sz w:val="24"/>
          <w:szCs w:val="24"/>
        </w:rPr>
        <w:t>3、乙方项目负责人为</w:t>
      </w:r>
      <w:r>
        <w:rPr>
          <w:rFonts w:hint="eastAsia" w:ascii="宋体" w:hAnsi="宋体" w:cs="宋体"/>
          <w:color w:val="0000FF"/>
          <w:sz w:val="24"/>
          <w:szCs w:val="24"/>
          <w:u w:val="single"/>
        </w:rPr>
        <w:t xml:space="preserve">     （手机:  ）  </w:t>
      </w:r>
      <w:r>
        <w:rPr>
          <w:rFonts w:hint="eastAsia" w:ascii="宋体" w:hAnsi="宋体" w:cs="宋体"/>
          <w:color w:val="0000FF"/>
          <w:sz w:val="24"/>
          <w:szCs w:val="24"/>
        </w:rPr>
        <w:t>。</w:t>
      </w:r>
    </w:p>
    <w:p w14:paraId="35877995">
      <w:pPr>
        <w:pStyle w:val="10"/>
        <w:autoSpaceDN w:val="0"/>
        <w:spacing w:line="360" w:lineRule="auto"/>
        <w:ind w:firstLine="480"/>
        <w:rPr>
          <w:rFonts w:hint="eastAsia" w:ascii="宋体" w:hAnsi="宋体" w:cs="宋体"/>
          <w:color w:val="0000FF"/>
          <w:sz w:val="24"/>
          <w:szCs w:val="24"/>
        </w:rPr>
      </w:pPr>
      <w:r>
        <w:rPr>
          <w:rFonts w:hint="eastAsia" w:ascii="宋体" w:hAnsi="宋体" w:cs="宋体"/>
          <w:color w:val="0000FF"/>
          <w:sz w:val="24"/>
          <w:szCs w:val="24"/>
        </w:rPr>
        <w:t>4、乙方有义务按照合同约定时间、地点及期限向甲方交付合同内全部货物，同时承担交货期内过程中所发生的任何安全事故责任。</w:t>
      </w:r>
    </w:p>
    <w:p w14:paraId="29500DC4">
      <w:pPr>
        <w:pStyle w:val="10"/>
        <w:autoSpaceDN w:val="0"/>
        <w:spacing w:line="360" w:lineRule="auto"/>
        <w:ind w:firstLine="480"/>
        <w:rPr>
          <w:rFonts w:hint="eastAsia" w:ascii="宋体" w:hAnsi="宋体" w:cs="宋体"/>
          <w:color w:val="0000FF"/>
          <w:sz w:val="24"/>
          <w:szCs w:val="24"/>
        </w:rPr>
      </w:pPr>
      <w:r>
        <w:rPr>
          <w:rFonts w:hint="eastAsia" w:ascii="宋体" w:hAnsi="宋体" w:cs="宋体"/>
          <w:color w:val="0000FF"/>
          <w:sz w:val="24"/>
          <w:szCs w:val="24"/>
        </w:rPr>
        <w:t>5、本项目试运行期限届满，按照甲方要求配合验收工作及整体项目的验收工作。</w:t>
      </w:r>
    </w:p>
    <w:p w14:paraId="7F2CDA5C">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6、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76C20A88">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7、按甲方指定地点将货物码放整齐，及时清运过程中产生的垃圾，保持现场整洁。</w:t>
      </w:r>
    </w:p>
    <w:p w14:paraId="0D1B0137">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8、遵守国家对交通、市容和实施过程中噪音的管理规定。</w:t>
      </w:r>
    </w:p>
    <w:p w14:paraId="600A4D8E">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9、在货物验收时，向买方提供《货物合格证》、《货物使用说明书》及质量保证书等技术文件。</w:t>
      </w:r>
    </w:p>
    <w:p w14:paraId="064E31BB">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10、乙方交付货物，不符合合同要求及约定技术参数的，及时履行更换或义务。</w:t>
      </w:r>
    </w:p>
    <w:p w14:paraId="00D6910E">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11、承担货物在交货验收前的破损、遗失、盗抢等风险。</w:t>
      </w:r>
    </w:p>
    <w:p w14:paraId="42876974">
      <w:pPr>
        <w:spacing w:line="360" w:lineRule="auto"/>
        <w:rPr>
          <w:rFonts w:hint="eastAsia" w:ascii="宋体" w:hAnsi="宋体" w:cs="宋体"/>
          <w:b/>
          <w:bCs/>
          <w:color w:val="0000FF"/>
          <w:sz w:val="24"/>
        </w:rPr>
      </w:pPr>
      <w:bookmarkStart w:id="34" w:name="_Toc11791"/>
      <w:bookmarkStart w:id="35" w:name="_Toc495505737"/>
      <w:r>
        <w:rPr>
          <w:rFonts w:hint="eastAsia" w:ascii="宋体" w:hAnsi="宋体" w:cs="宋体"/>
          <w:b/>
          <w:bCs/>
          <w:color w:val="0000FF"/>
          <w:sz w:val="24"/>
        </w:rPr>
        <w:t>六、质量要求、技术标准</w:t>
      </w:r>
      <w:bookmarkEnd w:id="34"/>
      <w:bookmarkEnd w:id="35"/>
    </w:p>
    <w:p w14:paraId="5FE556CA">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1、质量要求：产品在设计、制造、包装、运输过程中，严格执行国家及行业标准规范。</w:t>
      </w:r>
    </w:p>
    <w:p w14:paraId="7C3F6BE8">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2、详见产品执行的技术标准。</w:t>
      </w:r>
    </w:p>
    <w:p w14:paraId="281B8C08">
      <w:pPr>
        <w:spacing w:line="360" w:lineRule="auto"/>
        <w:rPr>
          <w:rFonts w:hint="eastAsia" w:ascii="宋体" w:hAnsi="宋体" w:cs="宋体"/>
          <w:b/>
          <w:bCs/>
          <w:color w:val="0000FF"/>
          <w:sz w:val="24"/>
        </w:rPr>
      </w:pPr>
      <w:bookmarkStart w:id="36" w:name="_Toc5897"/>
      <w:bookmarkStart w:id="37" w:name="_Toc495505738"/>
      <w:r>
        <w:rPr>
          <w:rFonts w:hint="eastAsia" w:ascii="宋体" w:hAnsi="宋体" w:cs="宋体"/>
          <w:b/>
          <w:bCs/>
          <w:color w:val="0000FF"/>
          <w:sz w:val="24"/>
        </w:rPr>
        <w:t>七、交货要求</w:t>
      </w:r>
      <w:bookmarkEnd w:id="36"/>
      <w:bookmarkEnd w:id="37"/>
    </w:p>
    <w:p w14:paraId="43D7E659">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乙方应保证所提供的产品均为崭新的、合法的正品，其质量、规格和性能应完全满足合同约定要求。同时保证享有设备完全知识产权及所有权，无任何权利瑕疵。</w:t>
      </w:r>
    </w:p>
    <w:p w14:paraId="4CACBD32">
      <w:pPr>
        <w:spacing w:line="360" w:lineRule="auto"/>
        <w:ind w:left="-8"/>
        <w:rPr>
          <w:rFonts w:hint="eastAsia" w:ascii="宋体" w:hAnsi="宋体" w:cs="宋体"/>
          <w:b/>
          <w:bCs/>
          <w:color w:val="0000FF"/>
          <w:sz w:val="24"/>
        </w:rPr>
      </w:pPr>
      <w:bookmarkStart w:id="38" w:name="_Toc13942"/>
      <w:bookmarkStart w:id="39" w:name="_Toc495505739"/>
      <w:r>
        <w:rPr>
          <w:rFonts w:hint="eastAsia" w:ascii="宋体" w:hAnsi="宋体" w:cs="宋体"/>
          <w:b/>
          <w:bCs/>
          <w:color w:val="0000FF"/>
          <w:sz w:val="24"/>
        </w:rPr>
        <w:t>八、交货地点</w:t>
      </w:r>
      <w:bookmarkEnd w:id="38"/>
      <w:bookmarkEnd w:id="39"/>
    </w:p>
    <w:p w14:paraId="19E31157">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具体交货地点由甲方指定（运输及保险费、装卸费等与交货相关的全部费用由乙方承担）。</w:t>
      </w:r>
    </w:p>
    <w:p w14:paraId="371CF8D8">
      <w:pPr>
        <w:spacing w:line="360" w:lineRule="auto"/>
        <w:rPr>
          <w:rFonts w:hint="eastAsia" w:ascii="宋体" w:hAnsi="宋体" w:cs="宋体"/>
          <w:b/>
          <w:bCs/>
          <w:color w:val="0000FF"/>
          <w:sz w:val="24"/>
        </w:rPr>
      </w:pPr>
      <w:bookmarkStart w:id="40" w:name="_Toc29325"/>
      <w:bookmarkStart w:id="41" w:name="_Toc495505740"/>
      <w:r>
        <w:rPr>
          <w:rFonts w:hint="eastAsia" w:ascii="宋体" w:hAnsi="宋体" w:cs="宋体"/>
          <w:b/>
          <w:bCs/>
          <w:color w:val="0000FF"/>
          <w:sz w:val="24"/>
        </w:rPr>
        <w:t>九、货物验收</w:t>
      </w:r>
      <w:bookmarkEnd w:id="40"/>
      <w:bookmarkEnd w:id="41"/>
    </w:p>
    <w:p w14:paraId="6D833FD2">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1、在发货前，乙方应对货物的质量、规格、数量等进行准确而全面的检验，并出具产品生产产地证明材料 (加盖公章)。</w:t>
      </w:r>
    </w:p>
    <w:p w14:paraId="5F3454D2">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2、甲方将在供货单位交货现场组织验收，甲方的初步验收不作为甲方对乙方质量的认可，亦不作为付款依据。如果货物达不到国家的质量及企业标准或与投标时封存样品不符，甲方有权拒绝接收。</w:t>
      </w:r>
    </w:p>
    <w:p w14:paraId="75A6EE1A">
      <w:pPr>
        <w:spacing w:line="360" w:lineRule="auto"/>
        <w:rPr>
          <w:rFonts w:hint="eastAsia" w:ascii="宋体" w:hAnsi="宋体" w:cs="宋体"/>
          <w:b/>
          <w:bCs/>
          <w:color w:val="0000FF"/>
          <w:sz w:val="24"/>
        </w:rPr>
      </w:pPr>
      <w:bookmarkStart w:id="42" w:name="_Toc495505741"/>
      <w:bookmarkStart w:id="43" w:name="_Toc13025"/>
      <w:r>
        <w:rPr>
          <w:rFonts w:hint="eastAsia" w:ascii="宋体" w:hAnsi="宋体" w:cs="宋体"/>
          <w:b/>
          <w:bCs/>
          <w:color w:val="0000FF"/>
          <w:sz w:val="24"/>
        </w:rPr>
        <w:t>十、保密条款</w:t>
      </w:r>
      <w:bookmarkEnd w:id="42"/>
      <w:bookmarkEnd w:id="43"/>
    </w:p>
    <w:p w14:paraId="20095847">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双方承诺，除非法律另有规定或双方一致同意，任何一方不得将本协议的内容向第三方透露，否则，应向对方承担相应的违约责任。</w:t>
      </w:r>
    </w:p>
    <w:p w14:paraId="218C66F3">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25632E0">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FEA707F">
      <w:pPr>
        <w:spacing w:line="360" w:lineRule="auto"/>
        <w:rPr>
          <w:rFonts w:hint="eastAsia" w:ascii="宋体" w:hAnsi="宋体" w:cs="宋体"/>
          <w:b/>
          <w:bCs/>
          <w:color w:val="0000FF"/>
          <w:sz w:val="24"/>
        </w:rPr>
      </w:pPr>
      <w:bookmarkStart w:id="44" w:name="_Toc2316"/>
      <w:bookmarkStart w:id="45" w:name="_Toc495505742"/>
      <w:r>
        <w:rPr>
          <w:rFonts w:hint="eastAsia" w:ascii="宋体" w:hAnsi="宋体" w:cs="宋体"/>
          <w:b/>
          <w:bCs/>
          <w:color w:val="0000FF"/>
          <w:sz w:val="24"/>
        </w:rPr>
        <w:t>十一、违约责任</w:t>
      </w:r>
      <w:bookmarkEnd w:id="44"/>
      <w:bookmarkEnd w:id="45"/>
    </w:p>
    <w:p w14:paraId="3FEAB006">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1、乙方逾期供货，每延迟1日，应按合同总价款的5‰向甲方支付违约金，因不可抗力或经甲方同意除外，但违约金总额不超过合同总价的10％。如合同总价5％以上的货物迟达10日的，甲方有权解除本合同。</w:t>
      </w:r>
    </w:p>
    <w:p w14:paraId="296FA1A2">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2、甲方逾期付款，每延迟1日，应按合同总价款的5‰向乙方支付违约金，因不可抗力或经乙方同意除外。</w:t>
      </w:r>
    </w:p>
    <w:p w14:paraId="3A989A52">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3</w:t>
      </w:r>
      <w:r>
        <w:rPr>
          <w:rFonts w:hint="eastAsia" w:ascii="宋体" w:hAnsi="宋体" w:cs="宋体"/>
          <w:b/>
          <w:bCs/>
          <w:color w:val="0000FF"/>
          <w:sz w:val="24"/>
        </w:rPr>
        <w:t>、</w:t>
      </w:r>
      <w:r>
        <w:rPr>
          <w:rFonts w:hint="eastAsia" w:ascii="宋体" w:hAnsi="宋体" w:cs="宋体"/>
          <w:color w:val="0000FF"/>
          <w:sz w:val="24"/>
        </w:rPr>
        <w:t>如乙方产品质量不符合国家标准或未达到本企业内控标准，甲方有权退货，并且乙方应承担甲方合同总价款的10％的违约金并赔偿其他损失。</w:t>
      </w:r>
    </w:p>
    <w:p w14:paraId="0B6506CC">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4、在合同规定的供货期内乙方未如数交货，除应如数补齐外，还应承担合同总款的10％违约金。</w:t>
      </w:r>
    </w:p>
    <w:p w14:paraId="3DC26CC4">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5、保修期内因产品质量问题，乙方未按合同规定及时进行维修、更换，甲方可自行组织人员进行维修、更换，因此造成的相关责任、费用由乙方承担。</w:t>
      </w:r>
    </w:p>
    <w:p w14:paraId="66D37EEE">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6、乙方对材料不按招标文件要求，擅自更换，除恢复原采购产品外，应承担更换部分价款10%的违约金。</w:t>
      </w:r>
    </w:p>
    <w:p w14:paraId="5AB96798">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7、乙方如对材料以次充好，除全部按要求恢复外，应承担此部分价款10%的违约金。</w:t>
      </w:r>
    </w:p>
    <w:p w14:paraId="15C82B15">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8、如由于产品质量原因，不能通过验收，乙方除按规定无偿更换外，应承担所涉及产品总价款的10％违约金。</w:t>
      </w:r>
    </w:p>
    <w:p w14:paraId="3B297795">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9、乙方负责现场施工人员及其他人员安全。如因乙方原因造成人员伤亡或财产损失，由乙方负责并承担一切责任和经济赔偿，甲方有权追究乙方的违约责任。</w:t>
      </w:r>
    </w:p>
    <w:p w14:paraId="40DD5663">
      <w:pPr>
        <w:autoSpaceDE w:val="0"/>
        <w:autoSpaceDN w:val="0"/>
        <w:spacing w:line="360" w:lineRule="auto"/>
        <w:ind w:firstLine="480" w:firstLineChars="200"/>
        <w:rPr>
          <w:rFonts w:hint="eastAsia" w:ascii="宋体" w:hAnsi="宋体" w:cs="宋体"/>
          <w:color w:val="0000FF"/>
          <w:sz w:val="24"/>
        </w:rPr>
      </w:pPr>
      <w:r>
        <w:rPr>
          <w:rFonts w:hint="eastAsia" w:ascii="宋体" w:hAnsi="宋体" w:cs="宋体"/>
          <w:color w:val="0000FF"/>
          <w:sz w:val="24"/>
        </w:rPr>
        <w:t>10、乙方供应设施设备存在知识产权瑕疵或所有权瑕疵，导致第三方向甲方索赔的，因此产生的赔偿款、行政罚款、处理纠纷发生的律师费、诉讼费、保全费等各项费用由乙方承担。</w:t>
      </w:r>
    </w:p>
    <w:p w14:paraId="0647E3D8">
      <w:pPr>
        <w:spacing w:line="360" w:lineRule="auto"/>
        <w:rPr>
          <w:rFonts w:hint="eastAsia" w:ascii="宋体" w:hAnsi="宋体" w:cs="宋体"/>
          <w:b/>
          <w:bCs/>
          <w:color w:val="0000FF"/>
          <w:sz w:val="24"/>
        </w:rPr>
      </w:pPr>
      <w:bookmarkStart w:id="46" w:name="_Toc8774"/>
      <w:bookmarkStart w:id="47" w:name="_Toc495505743"/>
      <w:r>
        <w:rPr>
          <w:rFonts w:hint="eastAsia" w:ascii="宋体" w:hAnsi="宋体" w:cs="宋体"/>
          <w:b/>
          <w:bCs/>
          <w:color w:val="0000FF"/>
          <w:sz w:val="24"/>
        </w:rPr>
        <w:t>十二、争议解决</w:t>
      </w:r>
      <w:bookmarkEnd w:id="46"/>
      <w:bookmarkEnd w:id="47"/>
    </w:p>
    <w:p w14:paraId="0EFC7AB6">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06FC5629">
      <w:pPr>
        <w:spacing w:line="360" w:lineRule="auto"/>
        <w:rPr>
          <w:rFonts w:hint="eastAsia" w:ascii="宋体" w:hAnsi="宋体" w:cs="宋体"/>
          <w:b/>
          <w:bCs/>
          <w:color w:val="0000FF"/>
          <w:sz w:val="24"/>
        </w:rPr>
      </w:pPr>
      <w:bookmarkStart w:id="48" w:name="_Toc8149"/>
      <w:bookmarkStart w:id="49" w:name="_Toc495505744"/>
      <w:r>
        <w:rPr>
          <w:rFonts w:hint="eastAsia" w:ascii="宋体" w:hAnsi="宋体" w:cs="宋体"/>
          <w:b/>
          <w:bCs/>
          <w:color w:val="0000FF"/>
          <w:sz w:val="24"/>
        </w:rPr>
        <w:t>十三、协议期限</w:t>
      </w:r>
      <w:bookmarkEnd w:id="48"/>
      <w:bookmarkEnd w:id="49"/>
    </w:p>
    <w:p w14:paraId="198225A9">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w:t>
      </w:r>
      <w:r>
        <w:rPr>
          <w:rFonts w:hint="eastAsia" w:ascii="宋体" w:hAnsi="宋体" w:cs="宋体"/>
          <w:color w:val="0000FF"/>
          <w:spacing w:val="10"/>
          <w:sz w:val="24"/>
        </w:rPr>
        <w:t>合同经</w:t>
      </w:r>
      <w:r>
        <w:rPr>
          <w:rFonts w:hint="eastAsia" w:ascii="宋体" w:hAnsi="宋体" w:cs="宋体"/>
          <w:color w:val="0000FF"/>
          <w:sz w:val="24"/>
        </w:rPr>
        <w:t>发包</w:t>
      </w:r>
      <w:r>
        <w:rPr>
          <w:rFonts w:hint="eastAsia" w:ascii="宋体" w:hAnsi="宋体" w:cs="宋体"/>
          <w:color w:val="0000FF"/>
          <w:spacing w:val="10"/>
          <w:sz w:val="24"/>
        </w:rPr>
        <w:t>方和</w:t>
      </w:r>
      <w:r>
        <w:rPr>
          <w:rFonts w:hint="eastAsia" w:ascii="宋体" w:hAnsi="宋体" w:cs="宋体"/>
          <w:color w:val="0000FF"/>
          <w:sz w:val="24"/>
        </w:rPr>
        <w:t>承包</w:t>
      </w:r>
      <w:r>
        <w:rPr>
          <w:rFonts w:hint="eastAsia" w:ascii="宋体" w:hAnsi="宋体" w:cs="宋体"/>
          <w:color w:val="0000FF"/>
          <w:spacing w:val="10"/>
          <w:sz w:val="24"/>
        </w:rPr>
        <w:t>方双方法定代表人或者代表人签字并加盖公章(或合同章)即行生效。</w:t>
      </w:r>
    </w:p>
    <w:p w14:paraId="30EB71CD">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2、合同签订之日起双方即直接产生权利与义务的关系，合同执行过程中出现的问题应按照合同法等有关规定办理。</w:t>
      </w:r>
    </w:p>
    <w:p w14:paraId="5379A228">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3、合同在执行过程中出现的未尽事宜，双方在不违背本合同和招标文件的原则下协商解决，协商结果以“纪要”形式盖章记录在案，作为本合同的附件，与本合同具有同等效力。</w:t>
      </w:r>
    </w:p>
    <w:p w14:paraId="7C4ECCD1">
      <w:pPr>
        <w:spacing w:line="360" w:lineRule="auto"/>
        <w:rPr>
          <w:rFonts w:hint="eastAsia" w:ascii="宋体" w:hAnsi="宋体" w:cs="宋体"/>
          <w:b/>
          <w:bCs/>
          <w:color w:val="0000FF"/>
          <w:sz w:val="24"/>
        </w:rPr>
      </w:pPr>
      <w:bookmarkStart w:id="50" w:name="_Toc13863"/>
      <w:bookmarkStart w:id="51" w:name="_Toc495505745"/>
      <w:r>
        <w:rPr>
          <w:rFonts w:hint="eastAsia" w:ascii="宋体" w:hAnsi="宋体" w:cs="宋体"/>
          <w:b/>
          <w:bCs/>
          <w:color w:val="0000FF"/>
          <w:sz w:val="24"/>
        </w:rPr>
        <w:t>十四、不可抗力</w:t>
      </w:r>
      <w:bookmarkEnd w:id="50"/>
      <w:bookmarkEnd w:id="51"/>
    </w:p>
    <w:p w14:paraId="76146A87">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1、本合同项下的“不可抗力”是指不能预见，不能避免且不能克服的客观情况，使得本合同一方当事人无法履行合同义务，不可抗力事由发生三日内，不能履行合同方应当向对方发出书面通知。不可抗力之政治因素及自然灾害：如战争、严重火灾、水灾、风灾和地震属于不可抗力的事故。</w:t>
      </w:r>
    </w:p>
    <w:p w14:paraId="0847BFF2">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39B66FA">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3、如不可抗力时间延续120天以上的，各方通过协商达成在合理的时间内继续履行合同，或部分履行合同，或终止合同的履行。</w:t>
      </w:r>
    </w:p>
    <w:p w14:paraId="3BCA6A46">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4、一方迟延履行后发生不可抗力的，不能免除责任。</w:t>
      </w:r>
    </w:p>
    <w:p w14:paraId="5F5BD705">
      <w:pPr>
        <w:spacing w:line="360" w:lineRule="auto"/>
        <w:rPr>
          <w:rFonts w:hint="eastAsia" w:ascii="宋体" w:hAnsi="宋体" w:cs="宋体"/>
          <w:b/>
          <w:bCs/>
          <w:color w:val="0000FF"/>
          <w:sz w:val="24"/>
        </w:rPr>
      </w:pPr>
      <w:bookmarkStart w:id="52" w:name="_Toc17954"/>
      <w:bookmarkStart w:id="53" w:name="_Toc495505746"/>
      <w:r>
        <w:rPr>
          <w:rFonts w:hint="eastAsia" w:ascii="宋体" w:hAnsi="宋体" w:cs="宋体"/>
          <w:b/>
          <w:bCs/>
          <w:color w:val="0000FF"/>
          <w:sz w:val="24"/>
        </w:rPr>
        <w:t>十五、通知和合同修改</w:t>
      </w:r>
      <w:bookmarkEnd w:id="52"/>
      <w:bookmarkEnd w:id="53"/>
    </w:p>
    <w:p w14:paraId="6154C19E">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本合同一方给另一方的通知，都应以书面的形式（信函、传真）发送至对方，对本合同条款进行任何改动，均须由甲乙双方签署书面合同修改签证，方为有效。</w:t>
      </w:r>
    </w:p>
    <w:p w14:paraId="0B94AC55">
      <w:pPr>
        <w:spacing w:line="360" w:lineRule="auto"/>
        <w:rPr>
          <w:rFonts w:hint="eastAsia" w:ascii="宋体" w:hAnsi="宋体" w:cs="宋体"/>
          <w:b/>
          <w:bCs/>
          <w:color w:val="0000FF"/>
          <w:sz w:val="24"/>
        </w:rPr>
      </w:pPr>
      <w:bookmarkStart w:id="54" w:name="_Toc495505747"/>
      <w:bookmarkStart w:id="55" w:name="_Toc23948"/>
      <w:r>
        <w:rPr>
          <w:rFonts w:hint="eastAsia" w:ascii="宋体" w:hAnsi="宋体" w:cs="宋体"/>
          <w:b/>
          <w:bCs/>
          <w:color w:val="0000FF"/>
          <w:sz w:val="24"/>
        </w:rPr>
        <w:t>十六、其他规定</w:t>
      </w:r>
      <w:bookmarkEnd w:id="54"/>
      <w:bookmarkEnd w:id="55"/>
    </w:p>
    <w:p w14:paraId="61A3FBDD">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本协议的附件为本协议不可分割的部分，与本协议正文具有同等的法律效力。协议附件与本协议约定不一致的，以本协议的约定为准，除非双方一致同意并以书面形式表示以协议附件为准。</w:t>
      </w:r>
    </w:p>
    <w:p w14:paraId="6B0235F5">
      <w:pPr>
        <w:rPr>
          <w:rFonts w:hint="eastAsia" w:ascii="宋体" w:hAnsi="宋体" w:cs="宋体"/>
          <w:color w:val="0000FF"/>
          <w:sz w:val="24"/>
        </w:rPr>
      </w:pPr>
    </w:p>
    <w:p w14:paraId="4EDCEEB1">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本合同甲、乙双方均同意以上条款内容。</w:t>
      </w:r>
    </w:p>
    <w:p w14:paraId="0CBDCB5B">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本合同一式陆份，甲方肆份，乙方贰份，具有同等效力。自双方法定代表人或授权代表人签字、并加盖单位公章之日起生效。</w:t>
      </w:r>
    </w:p>
    <w:p w14:paraId="682F075F">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本合同的订立、履行、变更、终止、解释等均适用中华人民共和国法律。</w:t>
      </w:r>
    </w:p>
    <w:p w14:paraId="6F3AB2E2">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本合同未尽事宜由双方共同协商，另行订立补充协议，补充协议与本协议具有同样的法律效力。如果本合同之附件与本合同规定不符, 以本合同规定为准。</w:t>
      </w:r>
    </w:p>
    <w:p w14:paraId="39ED6D1B">
      <w:pPr>
        <w:rPr>
          <w:rFonts w:hint="eastAsia" w:ascii="宋体" w:hAnsi="宋体" w:cs="宋体"/>
          <w:color w:val="0000FF"/>
          <w:sz w:val="24"/>
          <w:u w:val="single"/>
        </w:rPr>
      </w:pPr>
    </w:p>
    <w:p w14:paraId="647F78F3">
      <w:pPr>
        <w:rPr>
          <w:rFonts w:hint="eastAsia" w:ascii="宋体" w:hAnsi="宋体" w:cs="宋体"/>
          <w:color w:val="0000FF"/>
          <w:sz w:val="24"/>
          <w:u w:val="single"/>
        </w:rPr>
      </w:pPr>
      <w:r>
        <w:rPr>
          <w:rFonts w:hint="eastAsia" w:ascii="宋体" w:hAnsi="宋体" w:cs="宋体"/>
          <w:color w:val="0000FF"/>
          <w:sz w:val="24"/>
          <w:u w:val="single"/>
        </w:rPr>
        <w:t xml:space="preserve">                       </w:t>
      </w:r>
    </w:p>
    <w:p w14:paraId="095001CF">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（以下无正文）</w:t>
      </w:r>
    </w:p>
    <w:p w14:paraId="5D621B85">
      <w:pPr>
        <w:spacing w:line="720" w:lineRule="auto"/>
        <w:rPr>
          <w:rFonts w:hint="eastAsia" w:ascii="宋体" w:hAnsi="宋体" w:cs="宋体"/>
          <w:color w:val="0000FF"/>
          <w:sz w:val="24"/>
        </w:rPr>
      </w:pPr>
      <w:r>
        <w:rPr>
          <w:rFonts w:hint="eastAsia" w:ascii="宋体" w:hAnsi="宋体" w:cs="宋体"/>
          <w:color w:val="0000FF"/>
          <w:sz w:val="24"/>
        </w:rPr>
        <w:t>甲方：</w:t>
      </w:r>
      <w:r>
        <w:rPr>
          <w:rFonts w:hint="eastAsia" w:ascii="宋体" w:hAnsi="宋体" w:cs="宋体"/>
          <w:color w:val="0000FF"/>
          <w:sz w:val="24"/>
          <w:u w:val="single"/>
        </w:rPr>
        <w:t xml:space="preserve">                     </w:t>
      </w:r>
      <w:r>
        <w:rPr>
          <w:rFonts w:hint="eastAsia" w:ascii="宋体" w:hAnsi="宋体" w:cs="宋体"/>
          <w:color w:val="0000FF"/>
          <w:sz w:val="24"/>
        </w:rPr>
        <w:t xml:space="preserve">         乙方：</w:t>
      </w:r>
      <w:r>
        <w:rPr>
          <w:rFonts w:hint="eastAsia" w:ascii="宋体" w:hAnsi="宋体" w:cs="宋体"/>
          <w:color w:val="0000FF"/>
          <w:sz w:val="24"/>
          <w:u w:val="single"/>
        </w:rPr>
        <w:t xml:space="preserve">                            </w:t>
      </w:r>
    </w:p>
    <w:p w14:paraId="17C6956F">
      <w:pPr>
        <w:spacing w:line="720" w:lineRule="auto"/>
        <w:jc w:val="left"/>
        <w:rPr>
          <w:rFonts w:hint="eastAsia" w:ascii="宋体" w:hAnsi="宋体" w:cs="宋体"/>
          <w:color w:val="0000FF"/>
          <w:sz w:val="24"/>
        </w:rPr>
      </w:pPr>
      <w:r>
        <w:rPr>
          <w:rFonts w:hint="eastAsia" w:ascii="宋体" w:hAnsi="宋体" w:cs="宋体"/>
          <w:color w:val="0000FF"/>
          <w:sz w:val="24"/>
        </w:rPr>
        <w:t>法定代表人或授权代表人：</w:t>
      </w:r>
      <w:r>
        <w:rPr>
          <w:rFonts w:hint="eastAsia" w:ascii="宋体" w:hAnsi="宋体" w:cs="宋体"/>
          <w:color w:val="0000FF"/>
          <w:sz w:val="24"/>
          <w:u w:val="single"/>
        </w:rPr>
        <w:t xml:space="preserve">        </w:t>
      </w:r>
      <w:r>
        <w:rPr>
          <w:rFonts w:hint="eastAsia" w:ascii="宋体" w:hAnsi="宋体" w:cs="宋体"/>
          <w:color w:val="0000FF"/>
          <w:sz w:val="24"/>
        </w:rPr>
        <w:t xml:space="preserve">    法定代表人或授权代表人：</w:t>
      </w:r>
      <w:r>
        <w:rPr>
          <w:rFonts w:hint="eastAsia" w:ascii="宋体" w:hAnsi="宋体" w:cs="宋体"/>
          <w:color w:val="0000FF"/>
          <w:sz w:val="24"/>
          <w:u w:val="single"/>
        </w:rPr>
        <w:t xml:space="preserve">            </w:t>
      </w:r>
      <w:r>
        <w:rPr>
          <w:rFonts w:hint="eastAsia" w:ascii="宋体" w:hAnsi="宋体" w:cs="宋体"/>
          <w:color w:val="0000FF"/>
          <w:sz w:val="24"/>
        </w:rPr>
        <w:t xml:space="preserve">        签订日期：2025年</w:t>
      </w:r>
      <w:r>
        <w:rPr>
          <w:rFonts w:hint="eastAsia" w:ascii="宋体" w:hAnsi="宋体" w:cs="宋体"/>
          <w:color w:val="0000FF"/>
          <w:sz w:val="24"/>
          <w:u w:val="single"/>
        </w:rPr>
        <w:t xml:space="preserve">    </w:t>
      </w:r>
      <w:r>
        <w:rPr>
          <w:rFonts w:hint="eastAsia" w:ascii="宋体" w:hAnsi="宋体" w:cs="宋体"/>
          <w:color w:val="0000FF"/>
          <w:sz w:val="24"/>
        </w:rPr>
        <w:t>月</w:t>
      </w:r>
      <w:r>
        <w:rPr>
          <w:rFonts w:hint="eastAsia" w:ascii="宋体" w:hAnsi="宋体" w:cs="宋体"/>
          <w:color w:val="0000FF"/>
          <w:sz w:val="24"/>
          <w:u w:val="single"/>
        </w:rPr>
        <w:t xml:space="preserve">    </w:t>
      </w:r>
      <w:r>
        <w:rPr>
          <w:rFonts w:hint="eastAsia" w:ascii="宋体" w:hAnsi="宋体" w:cs="宋体"/>
          <w:color w:val="0000FF"/>
          <w:sz w:val="24"/>
        </w:rPr>
        <w:t>日        签订日期：2025年</w:t>
      </w:r>
      <w:r>
        <w:rPr>
          <w:rFonts w:hint="eastAsia" w:ascii="宋体" w:hAnsi="宋体" w:cs="宋体"/>
          <w:color w:val="0000FF"/>
          <w:sz w:val="24"/>
          <w:u w:val="single"/>
        </w:rPr>
        <w:t xml:space="preserve">    </w:t>
      </w:r>
      <w:r>
        <w:rPr>
          <w:rFonts w:hint="eastAsia" w:ascii="宋体" w:hAnsi="宋体" w:cs="宋体"/>
          <w:color w:val="0000FF"/>
          <w:sz w:val="24"/>
        </w:rPr>
        <w:t>月</w:t>
      </w:r>
      <w:r>
        <w:rPr>
          <w:rFonts w:hint="eastAsia" w:ascii="宋体" w:hAnsi="宋体" w:cs="宋体"/>
          <w:color w:val="0000FF"/>
          <w:sz w:val="24"/>
          <w:u w:val="single"/>
        </w:rPr>
        <w:t xml:space="preserve">    </w:t>
      </w:r>
      <w:r>
        <w:rPr>
          <w:rFonts w:hint="eastAsia" w:ascii="宋体" w:hAnsi="宋体" w:cs="宋体"/>
          <w:color w:val="0000FF"/>
          <w:sz w:val="24"/>
        </w:rPr>
        <w:t>日</w:t>
      </w:r>
    </w:p>
    <w:p w14:paraId="4E942173">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D303C">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4C9BB8">
                          <w:pPr>
                            <w:pStyle w:val="6"/>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154C9BB8">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AF726">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1489DE36">
                          <w:pPr>
                            <w:pStyle w:val="6"/>
                          </w:pPr>
                          <w:r>
                            <w:fldChar w:fldCharType="begin"/>
                          </w:r>
                          <w:r>
                            <w:instrText xml:space="preserve"> PAGE  \* MERGEFORMAT </w:instrText>
                          </w:r>
                          <w:r>
                            <w:fldChar w:fldCharType="separate"/>
                          </w:r>
                          <w:r>
                            <w:t>1</w:t>
                          </w:r>
                          <w:r>
                            <w:fldChar w:fldCharType="end"/>
                          </w:r>
                        </w:p>
                      </w:txbxContent>
                    </wps:txbx>
                    <wps:bodyPr lIns="0" tIns="0" rIns="0" bIns="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8XUBB&#10;1AAAAAMBAAAPAAAAAAAAAAEAIAAAACIAAABkcnMvZG93bnJldi54bWxQSwECFAAUAAAACACHTuJA&#10;m2CG+7MBAABlAwAADgAAAAAAAAABACAAAAAjAQAAZHJzL2Uyb0RvYy54bWxQSwUGAAAAAAYABgBZ&#10;AQAASAUAAAAA&#10;">
              <v:fill on="f" focussize="0,0"/>
              <v:stroke on="f"/>
              <v:imagedata o:title=""/>
              <o:lock v:ext="edit" aspectratio="f"/>
              <v:textbox inset="0mm,0mm,0mm,0mm">
                <w:txbxContent>
                  <w:p w14:paraId="1489DE3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1456B">
    <w:pPr>
      <w:pStyle w:val="7"/>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FF7001"/>
    <w:rsid w:val="10FF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首行缩进"/>
    <w:basedOn w:val="1"/>
    <w:next w:val="3"/>
    <w:qFormat/>
    <w:uiPriority w:val="0"/>
    <w:pPr>
      <w:ind w:firstLine="480" w:firstLineChars="200"/>
    </w:pPr>
    <w:rPr>
      <w:rFonts w:ascii="Calibri" w:hAnsi="Calibri"/>
    </w:rPr>
  </w:style>
  <w:style w:type="paragraph" w:customStyle="1" w:styleId="3">
    <w:name w:val="样式 行距: 1.5 倍行距1"/>
    <w:basedOn w:val="1"/>
    <w:next w:val="4"/>
    <w:qFormat/>
    <w:uiPriority w:val="0"/>
  </w:style>
  <w:style w:type="paragraph" w:customStyle="1" w:styleId="4">
    <w:name w:val="Item Step"/>
    <w:next w:val="1"/>
    <w:qFormat/>
    <w:uiPriority w:val="0"/>
    <w:pPr>
      <w:ind w:left="1644" w:hanging="510"/>
      <w:outlineLvl w:val="4"/>
    </w:pPr>
    <w:rPr>
      <w:rFonts w:ascii="Arial" w:hAnsi="Times New Roman" w:eastAsia="宋体" w:cs="Times New Roman"/>
      <w:sz w:val="21"/>
      <w:lang w:val="en-US" w:eastAsia="zh-CN" w:bidi="ar-SA"/>
    </w:rPr>
  </w:style>
  <w:style w:type="paragraph" w:styleId="5">
    <w:name w:val="Body Text"/>
    <w:basedOn w:val="1"/>
    <w:next w:val="1"/>
    <w:qFormat/>
    <w:uiPriority w:val="0"/>
    <w:pPr>
      <w:spacing w:after="120"/>
    </w:p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2025-09-29T01:12:00Z</dcterms:created>
  <dc:creator>vvf</dc:creator>
  <cp:lastModifiedBy>vvf</cp:lastModifiedBy>
  <dcterms:modified xsi:type="dcterms:W3CDTF">2025-09-29T01:13:18Z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02ACB79CFC724B698600160330C07189_11</vt:lpwstr>
  </property>
  <property fmtid="{D5CDD505-2E9C-101B-9397-08002B2CF9AE}" pid="4" name="KSOTemplateDocerSaveRecord">
    <vt:lpwstr>eyJoZGlkIjoiYzM0OGQ1NTVkMjYyZmFhMjg3MzU2ZDJjNmRkMGM0YmEiLCJ1c2VySWQiOiI1MDU0NTY4MDEifQ==</vt:lpwstr>
  </property>
</Properties>
</file>