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266C0"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总体服务方案</w:t>
      </w:r>
    </w:p>
    <w:p w14:paraId="783E4371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根</w:t>
      </w:r>
      <w:r>
        <w:rPr>
          <w:rFonts w:hint="eastAsia"/>
          <w:b/>
          <w:bCs/>
          <w:sz w:val="28"/>
          <w:szCs w:val="28"/>
          <w:lang w:val="zh-CN" w:eastAsia="zh-CN"/>
        </w:rPr>
        <w:t>据供应商提供的“总体服务方案”针对本项目设计及造价预算编制中涉及的内容及要点</w:t>
      </w:r>
      <w:r>
        <w:rPr>
          <w:rFonts w:hint="eastAsia"/>
          <w:b/>
          <w:bCs/>
          <w:sz w:val="28"/>
          <w:szCs w:val="28"/>
          <w:lang w:val="en-US" w:eastAsia="zh-CN"/>
        </w:rPr>
        <w:t>进行评审：</w:t>
      </w:r>
    </w:p>
    <w:p w14:paraId="1D92DE06"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总体服务方案科学合理、结合项目要求，合理性、针对性强的得5分；</w:t>
      </w:r>
    </w:p>
    <w:p w14:paraId="379E3F34"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总体服务方案有一定的可行性，基本满足项目要求，具有一定的合理性、针对性的得3分；</w:t>
      </w:r>
    </w:p>
    <w:p w14:paraId="30C33324"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总体服务方案有部分缺漏，合理性、针对性较差的得1分；</w:t>
      </w:r>
    </w:p>
    <w:p w14:paraId="292A21CE">
      <w:pPr>
        <w:jc w:val="left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未提供不得分。</w:t>
      </w:r>
    </w:p>
    <w:bookmarkEnd w:id="0"/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74D93"/>
    <w:rsid w:val="26F70EA7"/>
    <w:rsid w:val="40C7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2025-09-15T08:23:00Z</dcterms:created>
  <dc:creator>123</dc:creator>
  <cp:lastModifiedBy>123</cp:lastModifiedBy>
  <dcterms:modified xsi:type="dcterms:W3CDTF">2025-09-15T08:23:58Z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BC4590094B2743C8A0E2109E37313196_11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