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版本号：ZXGJ-CG-090220250929001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全国特种设备安全舆论引导应急演练</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ZXGJ-CG-0902</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全国特种设备安全舆论引导应急演练</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ZXGJ-CG-0902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全国特种设备安全舆论引导应急演练</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针对特种设备安全舆论压力与挑战，开展全国特种设备安全舆论引导应急演练活动。汇聚舆论引导的有效经验和做法，提高舆论引导水平，为市场监管营造良好氛围（具体内容包括：演练策划与脚本设计服务、现场演练管理、专业拍摄与后期制作服务、演练会务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采购包1（全国特种设备安全舆论引导应急演练）：属于专门面向中小企业采购。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财务状况报告：供应商提供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3、税收缴纳证明：提供上一年度至今已缴纳的至少三个月的纳税证明或完税证明，依法免税的单位应提供相关证明材料；</w:t>
      </w:r>
    </w:p>
    <w:p>
      <w:pPr>
        <w:pStyle w:val="null3"/>
      </w:pPr>
      <w:r>
        <w:rPr>
          <w:rFonts w:ascii="仿宋_GB2312" w:hAnsi="仿宋_GB2312" w:cs="仿宋_GB2312" w:eastAsia="仿宋_GB2312"/>
        </w:rPr>
        <w:t>4、社会保障资金缴纳证明：提供上一年度至今已缴存的至少三个月的社会保障资金缴存单据或社保机构开具的社会保险参保缴费情况证明，依法不需要缴纳社会保障资金的单位应提供相关证明材料；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信用截图：对列入“信用中国”网站(www.creditchina.gov.cn)“记录失信被执行人或重大税收违法案件当事人名单或政府采购严重违法失信行为”记录名单；中国政府采购网(www.ccgp.gov.cn)“政府采购严重违法失信行为信息记录”的单位，应当拒绝参与政府采购活动；</w:t>
      </w:r>
    </w:p>
    <w:p>
      <w:pPr>
        <w:pStyle w:val="null3"/>
      </w:pPr>
      <w:r>
        <w:rPr>
          <w:rFonts w:ascii="仿宋_GB2312" w:hAnsi="仿宋_GB2312" w:cs="仿宋_GB2312" w:eastAsia="仿宋_GB2312"/>
        </w:rPr>
        <w:t>7、承诺函：具有履行合同所必需的产品和专业技术能力的承诺函；</w:t>
      </w:r>
    </w:p>
    <w:p>
      <w:pPr>
        <w:pStyle w:val="null3"/>
      </w:pPr>
      <w:r>
        <w:rPr>
          <w:rFonts w:ascii="仿宋_GB2312" w:hAnsi="仿宋_GB2312" w:cs="仿宋_GB2312" w:eastAsia="仿宋_GB2312"/>
        </w:rPr>
        <w:t>8、单位负责人为同一人或者存在直接控股、管理关系的不同供应商，不得同时参加本项目磋商（提供声明函）：单位负责人为同一人或者存在直接控股、管理关系的不同供应商，不得同时参加本项目磋商（提供声明函）</w:t>
      </w:r>
    </w:p>
    <w:p>
      <w:pPr>
        <w:pStyle w:val="null3"/>
      </w:pPr>
      <w:r>
        <w:rPr>
          <w:rFonts w:ascii="仿宋_GB2312" w:hAnsi="仿宋_GB2312" w:cs="仿宋_GB2312" w:eastAsia="仿宋_GB2312"/>
        </w:rPr>
        <w:t>9、保证金缴纳凭据提供银行转账凭证、基本存款账户信息资料复印件或金融机构、担保机构出具的保函复印件，复印件均须加盖公章：保证金缴纳凭据提供银行转账凭证、基本存款账户信息资料复印件或金融机构、担保机构出具的保函复印件，复印件均须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贾江伟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13572276701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许倩、秦瑶、王超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采购包1：793,280.00元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开户名称：中昕国际项目管理有限公司</w:t>
            </w:r>
          </w:p>
          <w:p>
            <w:pPr>
              <w:pStyle w:val="null3"/>
            </w:pPr>
            <w:r>
              <w:rPr>
                <w:rFonts w:ascii="仿宋_GB2312" w:hAnsi="仿宋_GB2312" w:cs="仿宋_GB2312" w:eastAsia="仿宋_GB2312"/>
              </w:rPr>
              <w:t>开户银行：平安银行股份有限公司西安经济技术开发区支行</w:t>
            </w:r>
          </w:p>
          <w:p>
            <w:pPr>
              <w:pStyle w:val="null3"/>
            </w:pPr>
            <w:r>
              <w:rPr>
                <w:rFonts w:ascii="仿宋_GB2312" w:hAnsi="仿宋_GB2312" w:cs="仿宋_GB2312" w:eastAsia="仿宋_GB2312"/>
              </w:rPr>
              <w:t>银行账号：30201687007959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国家计委关于印发招标代理服务收费管理暂行办法的通知》（计价格〔2002〕1980号）和国家发改委办公厅颁发的《关于招标代理服务收费有关问题的通知》（发改办价格〔2003〕857号）文件规定标准计算收取。采购代理服务费不足陆仟元按照陆仟元收取。具体收费金额将在成交公告中公布。请将采购代理服务费汇至下列指定账户：开户名称：中昕国际项目管理有限公司；开户行：中国建设银行股份有限公司西安文景路支行；账号：61050178150000000278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以磋商文件及合同约定为准。验收依据：合同文本，磋商文件，磋商响应文件，供应商满足国家或行业规范执行标准。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联系人：许倩、秦瑶、王超</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针对特种设备安全舆论压力与挑战，开展全国特种设备安全舆论引导应急演练活动。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793,280.00</w:t>
      </w:r>
    </w:p>
    <w:p>
      <w:pPr>
        <w:pStyle w:val="null3"/>
      </w:pPr>
      <w:r>
        <w:rPr>
          <w:rFonts w:ascii="仿宋_GB2312" w:hAnsi="仿宋_GB2312" w:cs="仿宋_GB2312" w:eastAsia="仿宋_GB2312"/>
        </w:rPr>
        <w:t>采购包最高限价（元）: 793,280.00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全国特种设备安全舆论引导应急演练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793,280.00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标的名称：全国特种设备安全舆论引导应急演练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7"/>
              </w:rPr>
              <w:t>一、项目实施目的</w:t>
            </w:r>
          </w:p>
          <w:p>
            <w:pPr>
              <w:pStyle w:val="null3"/>
              <w:jc w:val="left"/>
            </w:pPr>
            <w:r>
              <w:rPr>
                <w:rFonts w:ascii="仿宋_GB2312" w:hAnsi="仿宋_GB2312" w:cs="仿宋_GB2312" w:eastAsia="仿宋_GB2312"/>
                <w:sz w:val="24"/>
              </w:rPr>
              <w:t>深刻把握新闻舆论工作重要论述的根本要义，完善舆论引导机制和应对协同机制，进一步增强管理实战能力，有效提升市场监管舆论引导效能，持续提升新闻舆论的传播力、引导力、影响力和公信力，为市场监管工作营造良好氛围。</w:t>
            </w:r>
          </w:p>
          <w:p>
            <w:pPr>
              <w:pStyle w:val="null3"/>
              <w:jc w:val="left"/>
            </w:pPr>
            <w:r>
              <w:rPr>
                <w:rFonts w:ascii="仿宋_GB2312" w:hAnsi="仿宋_GB2312" w:cs="仿宋_GB2312" w:eastAsia="仿宋_GB2312"/>
                <w:sz w:val="24"/>
              </w:rPr>
              <w:t>二、服务内容及具体要求</w:t>
            </w:r>
          </w:p>
          <w:p>
            <w:pPr>
              <w:pStyle w:val="null3"/>
              <w:jc w:val="left"/>
            </w:pPr>
            <w:r>
              <w:rPr>
                <w:rFonts w:ascii="仿宋_GB2312" w:hAnsi="仿宋_GB2312" w:cs="仿宋_GB2312" w:eastAsia="仿宋_GB2312"/>
                <w:sz w:val="24"/>
              </w:rPr>
              <w:t>（一）演练策划与脚本设计服务</w:t>
            </w:r>
          </w:p>
          <w:p>
            <w:pPr>
              <w:pStyle w:val="null3"/>
              <w:jc w:val="left"/>
            </w:pPr>
            <w:r>
              <w:rPr>
                <w:rFonts w:ascii="仿宋_GB2312" w:hAnsi="仿宋_GB2312" w:cs="仿宋_GB2312" w:eastAsia="仿宋_GB2312"/>
                <w:sz w:val="24"/>
              </w:rPr>
              <w:t>1.情景构建：基于近年来国内特种设备安全舆论的典型案例，设计具有代表性、紧贴当前媒体环境的演练情景。</w:t>
            </w:r>
          </w:p>
          <w:p>
            <w:pPr>
              <w:pStyle w:val="null3"/>
              <w:jc w:val="left"/>
            </w:pPr>
            <w:r>
              <w:rPr>
                <w:rFonts w:ascii="仿宋_GB2312" w:hAnsi="仿宋_GB2312" w:cs="仿宋_GB2312" w:eastAsia="仿宋_GB2312"/>
                <w:sz w:val="24"/>
              </w:rPr>
              <w:t>2.脚本编写：编写详尽的演练脚本及拍摄分镜头脚本，明确演练流程、参演任务、关键时间节点等。</w:t>
            </w:r>
          </w:p>
          <w:p>
            <w:pPr>
              <w:pStyle w:val="null3"/>
              <w:jc w:val="left"/>
            </w:pPr>
            <w:r>
              <w:rPr>
                <w:rFonts w:ascii="仿宋_GB2312" w:hAnsi="仿宋_GB2312" w:cs="仿宋_GB2312" w:eastAsia="仿宋_GB2312"/>
                <w:sz w:val="24"/>
              </w:rPr>
              <w:t>（二）现场演练管理</w:t>
            </w:r>
          </w:p>
          <w:p>
            <w:pPr>
              <w:pStyle w:val="null3"/>
              <w:jc w:val="left"/>
            </w:pPr>
            <w:r>
              <w:rPr>
                <w:rFonts w:ascii="仿宋_GB2312" w:hAnsi="仿宋_GB2312" w:cs="仿宋_GB2312" w:eastAsia="仿宋_GB2312"/>
                <w:sz w:val="24"/>
              </w:rPr>
              <w:t>1.全过程导调：配备专业的导调团队，根据脚本控制演练节奏，确保演练的有效性。</w:t>
            </w:r>
          </w:p>
          <w:p>
            <w:pPr>
              <w:pStyle w:val="null3"/>
              <w:jc w:val="left"/>
            </w:pPr>
            <w:r>
              <w:rPr>
                <w:rFonts w:ascii="仿宋_GB2312" w:hAnsi="仿宋_GB2312" w:cs="仿宋_GB2312" w:eastAsia="仿宋_GB2312"/>
                <w:sz w:val="24"/>
              </w:rPr>
              <w:t>2.现场控制：负责演练现场的流程把控、时间管理和秩序维护。</w:t>
            </w:r>
          </w:p>
          <w:p>
            <w:pPr>
              <w:pStyle w:val="null3"/>
              <w:jc w:val="left"/>
            </w:pPr>
            <w:r>
              <w:rPr>
                <w:rFonts w:ascii="仿宋_GB2312" w:hAnsi="仿宋_GB2312" w:cs="仿宋_GB2312" w:eastAsia="仿宋_GB2312"/>
                <w:sz w:val="24"/>
              </w:rPr>
              <w:t>3.专家点评：邀请至少1-2名专家，进行点评，指出优缺点并提出改进建议。</w:t>
            </w:r>
          </w:p>
          <w:p>
            <w:pPr>
              <w:pStyle w:val="null3"/>
              <w:jc w:val="left"/>
            </w:pPr>
            <w:r>
              <w:rPr>
                <w:rFonts w:ascii="仿宋_GB2312" w:hAnsi="仿宋_GB2312" w:cs="仿宋_GB2312" w:eastAsia="仿宋_GB2312"/>
                <w:sz w:val="24"/>
              </w:rPr>
              <w:t>（三）专业拍摄与后期制作服务</w:t>
            </w:r>
          </w:p>
          <w:p>
            <w:pPr>
              <w:pStyle w:val="null3"/>
              <w:jc w:val="left"/>
            </w:pPr>
            <w:r>
              <w:rPr>
                <w:rFonts w:ascii="仿宋_GB2312" w:hAnsi="仿宋_GB2312" w:cs="仿宋_GB2312" w:eastAsia="仿宋_GB2312"/>
                <w:sz w:val="24"/>
              </w:rPr>
              <w:t>1.拍摄及剪辑要求</w:t>
            </w:r>
          </w:p>
          <w:p>
            <w:pPr>
              <w:pStyle w:val="null3"/>
              <w:jc w:val="left"/>
            </w:pPr>
            <w:r>
              <w:rPr>
                <w:rFonts w:ascii="仿宋_GB2312" w:hAnsi="仿宋_GB2312" w:cs="仿宋_GB2312" w:eastAsia="仿宋_GB2312"/>
                <w:sz w:val="24"/>
              </w:rPr>
              <w:t>团队与设备：需配备专业级摄像设备、录音设备、灯光设备及稳定器等辅助器材。</w:t>
            </w:r>
          </w:p>
          <w:p>
            <w:pPr>
              <w:pStyle w:val="null3"/>
              <w:jc w:val="left"/>
            </w:pPr>
            <w:r>
              <w:rPr>
                <w:rFonts w:ascii="仿宋_GB2312" w:hAnsi="仿宋_GB2312" w:cs="仿宋_GB2312" w:eastAsia="仿宋_GB2312"/>
                <w:sz w:val="24"/>
              </w:rPr>
              <w:t>拍摄及剪辑内容：拍摄特种设备应急演练片，拍摄设备安全事件场景、现场处置场景、接打电话场景、会议场景等。</w:t>
            </w:r>
          </w:p>
          <w:p>
            <w:pPr>
              <w:pStyle w:val="null3"/>
              <w:jc w:val="left"/>
            </w:pPr>
            <w:r>
              <w:rPr>
                <w:rFonts w:ascii="仿宋_GB2312" w:hAnsi="仿宋_GB2312" w:cs="仿宋_GB2312" w:eastAsia="仿宋_GB2312"/>
                <w:sz w:val="24"/>
              </w:rPr>
              <w:t>拍摄及剪辑暖场片</w:t>
            </w:r>
            <w:r>
              <w:rPr>
                <w:rFonts w:ascii="仿宋_GB2312" w:hAnsi="仿宋_GB2312" w:cs="仿宋_GB2312" w:eastAsia="仿宋_GB2312"/>
                <w:sz w:val="24"/>
              </w:rPr>
              <w:t>1个。</w:t>
            </w:r>
          </w:p>
          <w:p>
            <w:pPr>
              <w:pStyle w:val="null3"/>
              <w:jc w:val="left"/>
            </w:pPr>
            <w:r>
              <w:rPr>
                <w:rFonts w:ascii="仿宋_GB2312" w:hAnsi="仿宋_GB2312" w:cs="仿宋_GB2312" w:eastAsia="仿宋_GB2312"/>
                <w:sz w:val="24"/>
              </w:rPr>
              <w:t>全程跟拍演练全过程，要求画面清晰、稳定，录音清楚。同时，多景别采集，需包含全景、中景、近景、特写等多种景别，确保素材丰富。</w:t>
            </w:r>
          </w:p>
          <w:p>
            <w:pPr>
              <w:pStyle w:val="null3"/>
              <w:jc w:val="left"/>
            </w:pPr>
            <w:r>
              <w:rPr>
                <w:rFonts w:ascii="仿宋_GB2312" w:hAnsi="仿宋_GB2312" w:cs="仿宋_GB2312" w:eastAsia="仿宋_GB2312"/>
                <w:sz w:val="24"/>
              </w:rPr>
              <w:t>后期剪辑：制作一部演练纪实视频。要求结构完整、重点突出、节奏紧凑。需包含片头、章节标题、背景音乐、关键环节字幕提示、特效包装和片尾鸣谢。</w:t>
            </w:r>
          </w:p>
          <w:p>
            <w:pPr>
              <w:pStyle w:val="null3"/>
              <w:jc w:val="left"/>
            </w:pPr>
            <w:r>
              <w:rPr>
                <w:rFonts w:ascii="仿宋_GB2312" w:hAnsi="仿宋_GB2312" w:cs="仿宋_GB2312" w:eastAsia="仿宋_GB2312"/>
                <w:sz w:val="24"/>
              </w:rPr>
              <w:t>（四）演练会务保障</w:t>
            </w:r>
          </w:p>
          <w:p>
            <w:pPr>
              <w:pStyle w:val="null3"/>
              <w:jc w:val="left"/>
            </w:pPr>
            <w:r>
              <w:rPr>
                <w:rFonts w:ascii="仿宋_GB2312" w:hAnsi="仿宋_GB2312" w:cs="仿宋_GB2312" w:eastAsia="仿宋_GB2312"/>
                <w:sz w:val="24"/>
              </w:rPr>
              <w:t>提供演练场地，</w:t>
            </w:r>
            <w:r>
              <w:rPr>
                <w:rFonts w:ascii="仿宋_GB2312" w:hAnsi="仿宋_GB2312" w:cs="仿宋_GB2312" w:eastAsia="仿宋_GB2312"/>
                <w:sz w:val="24"/>
              </w:rPr>
              <w:t>150—160人的住宿、用餐以及会务保障工作。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项目团队建立完善，岗位职责明确，人员充足，确保项目有序运行。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按项目服务要求，投入有利于本项目顺利实施的各类设施设备。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合同签订后至活动结束止（具体的服务时间与合同签订时间为准）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采购人组织验收评估，依据磋商文件、响应文件、成交通知书、合同文件及国家相关规范及标准进行验收。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对列入“信用中国”网站(www.creditchina.gov.cn)“记录失信被执行人或重大税收违法案件当事人名单或政府采购严重违法失信行为”记录名单；中国政府采购网(www.ccgp.gov.cn)“政府采购严重违法失信行为信息记录”的单位，应当拒绝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具有履行合同所必需的产品和专业技术能力的承诺函；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单位负责人为同一人或者存在直接控股、管理关系的不同供应商，不得同时参加本项目磋商（提供声明函）</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单位负责人为同一人或者存在直接控股、管理关系的不同供应商，不得同时参加本项目磋商（提供声明函）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保证金缴纳凭据提供银行转账凭证、基本存款账户信息资料复印件或金融机构、担保机构出具的保函复印件，复印件均须加盖公章</w:t>
            </w:r>
          </w:p>
        </w:tc>
        <w:tc>
          <w:tcPr>
            <w:tcW w:type="dxa" w:w="3322"/>
          </w:tcPr>
          <w:p>
            <w:pPr>
              <w:pStyle w:val="null3"/>
            </w:pPr>
            <w:r>
              <w:rPr>
                <w:rFonts w:ascii="仿宋_GB2312" w:hAnsi="仿宋_GB2312" w:cs="仿宋_GB2312" w:eastAsia="仿宋_GB2312"/>
              </w:rPr>
              <w:t>保证金缴纳凭据提供银行转账凭证、基本存款账户信息资料复印件或金融机构、担保机构出具的保函复印件，复印件均须加盖公章.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资格证明文件.docx 响应文件封面 分项报价表.docx 残疾人福利性单位声明函 服务方案 标的清单 响应函 法定代表人（负责人）证明书与法定代表人（负责人）授权书.docx 陕西省政府采购供应商拒绝政府采购领域商业贿赂承诺书.docx 供应商认为有必要补充说明的事宜.docx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资格证明文件.docx 响应文件封面 分项报价表.docx 残疾人福利性单位声明函 服务方案 标的清单 响应函 法定代表人（负责人）证明书与法定代表人（负责人）授权书.docx 供应商认为有必要补充说明的事宜.docx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响应文件封面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资格证明文件.docx 响应文件封面 分项报价表.docx 残疾人福利性单位声明函 服务方案 标的清单 响应函 法定代表人（负责人）证明书与法定代表人（负责人）授权书.docx 陕西省政府采购供应商拒绝政府采购领域商业贿赂承诺书.docx 供应商认为有必要补充说明的事宜.docx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项目服务团队</w:t>
            </w:r>
          </w:p>
        </w:tc>
        <w:tc>
          <w:tcPr>
            <w:tcW w:type="dxa" w:w="2492"/>
          </w:tcPr>
          <w:p>
            <w:pPr>
              <w:pStyle w:val="null3"/>
            </w:pPr>
            <w:r>
              <w:rPr>
                <w:rFonts w:ascii="仿宋_GB2312" w:hAnsi="仿宋_GB2312" w:cs="仿宋_GB2312" w:eastAsia="仿宋_GB2312"/>
              </w:rPr>
              <w:t>1.供应商针对本项目配置的服务团队的负责人有应急演项目经验的得5分，须提供相应人员的个人工作简历和近六个月任意一个月供应商为其缴纳的社保证明，否则不得分。所提供的证明材料无法明确体现、佐证以上内容的，不得分。 2.供应商须承诺为本项目配置应急演练指导专家具有应急演练领域5年以上实战经验，具备与本项目相关的高级职称或有出版应急或危机管理类书籍类的书籍，须提供该专家的个人工作简历及职称证书复印件或出版 《危机管理》类的书籍的相关证明材料，每提供一份得5分，未提供或提供不全则不得分。满分10分。 3.供应商项目团队具有副高及以上职称，每提供一项得2分，满分2分；中级及以上职称，每提供一项得1分，满分3分。否则不得分。 4.供应商项目团队同时具有统计学、传播学、计算机相关专业，得3分。须提供相应人员的学历证明和近六个月任意一个月供应商为其缴纳的社保证明，否则不得分。 5.供应商承诺服务团队人员完成本项目实施工作期间不更换团队人员得2分，须提供承诺函，格式自拟，未提供承诺函的本项不得分。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应急演练方案</w:t>
            </w:r>
          </w:p>
        </w:tc>
        <w:tc>
          <w:tcPr>
            <w:tcW w:type="dxa" w:w="2492"/>
          </w:tcPr>
          <w:p>
            <w:pPr>
              <w:pStyle w:val="null3"/>
            </w:pPr>
            <w:r>
              <w:rPr>
                <w:rFonts w:ascii="仿宋_GB2312" w:hAnsi="仿宋_GB2312" w:cs="仿宋_GB2312" w:eastAsia="仿宋_GB2312"/>
              </w:rPr>
              <w:t>根据供应商提供的应急演练方案（包含但不限于项目目的、意义、内容、责任分工、目标设定等）由评委进行打分：方案包含的要点齐全无缺漏项、内容与要点相符、每个要点均有展开详细的阐述，切合采购人的实际情况的得15分；方案所包含的要点齐全、内容与要点相符、每个要点均有展开阐述（没有特别具体）但基本能够适用于本项目的得10分；方案所包含的要点齐全、内容与要点相符但仅有纲要、内容简略，未展开详细阐述但基本能够适用于本项目的得5分；方案所包含的要点有缺漏、未提供或内容存在明显错误、明显不适用于本项目需求的均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根据供应商提供的针对本项目进度安排情况的方案（根据采购方演练时间安排好进度，包含但不限于演练筹备准备进度和验收进度等），由评委进行评分：进度安排合理，每个时间节点均有展开详细阐述，切合采购人的实际情况的得10分；进度安排合理，每个时间节点均有展开阐述（没有特别具体）但基本能够适用于本项目的得6分；进度安排较合理，对于时间节点未展开详细阐述但基本能够适用于本项目的得3分；进度安排存在明显缺陷、未提供或明显不适用于本项目需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根据供应商提供的质量保证方案（包含但不限于授课质量、桌面演练质量 、后勤保障服务质量等）由评委进行评分：①方案包含的要点齐全无缺漏项、内容与要点相符、内容完善且能够适用于本项目的得10分；②方案包含的要点齐全、内容与要点相符，但仅有纲要内容简略，展开阐述合理的得6分；③方案所包含的要点内容简单或内容存在阐述不详细的得3分；④未提供或提供得方案不符合项目需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安全保障和保密措施</w:t>
            </w:r>
          </w:p>
        </w:tc>
        <w:tc>
          <w:tcPr>
            <w:tcW w:type="dxa" w:w="2492"/>
          </w:tcPr>
          <w:p>
            <w:pPr>
              <w:pStyle w:val="null3"/>
            </w:pPr>
            <w:r>
              <w:rPr>
                <w:rFonts w:ascii="仿宋_GB2312" w:hAnsi="仿宋_GB2312" w:cs="仿宋_GB2312" w:eastAsia="仿宋_GB2312"/>
              </w:rPr>
              <w:t>根据供应商提供的安全保障和保密措施方案（包括但不限于保密制度的完备性、保密机制合理情况、履行保密职责的措施和制度规划性情况等）由评委进行评分：方案包含的要点齐全无缺漏项、内容与要点相符、内容完善且更有利于项目执行内容得10分；方案包含的要点齐全、内容与要点相符，但仅有纲要内容简略，展开阐述合理且符合项目实际操作的得6分；方案所包含的要点内容简单或内容存在阐述不详细的得3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相关业绩</w:t>
            </w:r>
          </w:p>
        </w:tc>
        <w:tc>
          <w:tcPr>
            <w:tcW w:type="dxa" w:w="2492"/>
          </w:tcPr>
          <w:p>
            <w:pPr>
              <w:pStyle w:val="null3"/>
            </w:pPr>
            <w:r>
              <w:rPr>
                <w:rFonts w:ascii="仿宋_GB2312" w:hAnsi="仿宋_GB2312" w:cs="仿宋_GB2312" w:eastAsia="仿宋_GB2312"/>
              </w:rPr>
              <w:t>1.供应商具有承接过省级或以上应急演练活动项目业绩，每提供一项得2分。满分14分。 【注：供应商须提供该项目业绩的以下资料复印件，并加盖供应商公章：①采购合同文本复印件，以签订的合同首页、金额所在页、服务内容相关页、签字盖章页为准；②演练现场相关佐证材料。所有材料缺一不可，否则不得分。 2.供应商具有配合举办过相关事件新闻发布会案例，每提供一项得2分。满分6分。 【注：供应商须提供该案例项目以下资料复印件，并加盖供应商公章：①采购合同文本，②新闻发布会相关现场材料，所有材料缺一不可，否则不得分。】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价格分统一采用低价优先法计算，即满足磋商文件要求且价格最低的磋商报价为评审基准价，其价格分为满分。其他供应商的价格分统一按照下列公式计算： 磋商报价得分=(磋商基准价／磋商报价)×价格权值×100%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详见附件：法定代表人（负责人）证明书与法定代表人（负责人）授权书.docx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